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styles.xml" ContentType="application/vnd.openxmlformats-officedocument.wordprocessingml.styles+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uppressAutoHyphens w:val="true"/>
        <w:bidi w:val="0"/>
        <w:spacing w:lineRule="auto" w:line="240" w:before="120" w:after="0"/>
        <w:ind w:hanging="0" w:left="0" w:right="0"/>
        <w:jc w:val="both"/>
        <w:rPr>
          <w:rFonts w:ascii="Arial" w:hAnsi="Arial" w:eastAsia="Arial" w:cs="Arial"/>
          <w:sz w:val="20"/>
          <w:szCs w:val="20"/>
        </w:rPr>
      </w:pPr>
      <w:r>
        <w:rPr>
          <w:rFonts w:eastAsia="Arial" w:cs="Arial" w:ascii="Arial" w:hAnsi="Arial"/>
          <w:b/>
          <w:sz w:val="24"/>
          <w:szCs w:val="24"/>
        </w:rPr>
        <w:t>Medienmitteilung</w:t>
      </w:r>
      <w:r>
        <w:rPr>
          <w:rFonts w:eastAsia="Arial" w:cs="Arial" w:ascii="Arial" w:hAnsi="Arial"/>
          <w:b/>
          <w:sz w:val="20"/>
          <w:szCs w:val="20"/>
        </w:rPr>
        <w:tab/>
        <w:tab/>
        <w:tab/>
        <w:tab/>
        <w:tab/>
        <w:tab/>
        <w:tab/>
        <w:tab/>
        <w:t xml:space="preserve">  </w:t>
      </w:r>
      <w:r>
        <w:rPr>
          <w:rFonts w:eastAsia="Arial" w:cs="Arial" w:ascii="Arial" w:hAnsi="Arial"/>
          <w:b w:val="false"/>
          <w:bCs w:val="false"/>
          <w:sz w:val="20"/>
          <w:szCs w:val="20"/>
        </w:rPr>
        <w:t>Bern, 14. November 2025</w:t>
      </w:r>
    </w:p>
    <w:p>
      <w:pPr>
        <w:pStyle w:val="Normal"/>
        <w:spacing w:lineRule="auto" w:line="240" w:before="120" w:after="0"/>
        <w:ind w:right="6663"/>
        <w:jc w:val="both"/>
        <w:rPr>
          <w:rFonts w:ascii="Arial" w:hAnsi="Arial" w:eastAsia="Arial" w:cs="Arial"/>
          <w:sz w:val="20"/>
          <w:szCs w:val="20"/>
        </w:rPr>
      </w:pPr>
      <w:r>
        <w:rPr>
          <w:rFonts w:eastAsia="Arial" w:cs="Arial" w:ascii="Arial" w:hAnsi="Arial"/>
          <w:sz w:val="20"/>
          <w:szCs w:val="20"/>
        </w:rPr>
      </w:r>
    </w:p>
    <w:p>
      <w:pPr>
        <w:pStyle w:val="Heading1"/>
        <w:rPr>
          <w:rFonts w:ascii="Open Sans" w:hAnsi="Open Sans"/>
          <w:sz w:val="22"/>
          <w:szCs w:val="22"/>
        </w:rPr>
      </w:pPr>
      <w:r>
        <w:rPr>
          <w:rFonts w:ascii="Open Sans" w:hAnsi="Open Sans"/>
          <w:sz w:val="22"/>
          <w:szCs w:val="22"/>
        </w:rPr>
        <w:t>VESE präsentiert Lösungen für PV-Ausbau und kritisiert Verordnungsrevision</w:t>
      </w:r>
    </w:p>
    <w:p>
      <w:pPr>
        <w:pStyle w:val="BodyText"/>
        <w:rPr>
          <w:rFonts w:ascii="Open Sans" w:hAnsi="Open Sans"/>
          <w:sz w:val="19"/>
        </w:rPr>
      </w:pPr>
      <w:r>
        <w:rPr>
          <w:rStyle w:val="Strong"/>
          <w:rFonts w:ascii="Open Sans" w:hAnsi="Open Sans"/>
        </w:rPr>
        <w:t>Bern, 14. November 2025</w:t>
      </w:r>
      <w:r>
        <w:rPr>
          <w:rFonts w:ascii="Open Sans" w:hAnsi="Open Sans"/>
        </w:rPr>
        <w:t xml:space="preserve"> – Der Verband unabhängiger Energieerzeuger VESE hat sein White Paper "PV-Zubau 2.0" veröffentlicht und nimmt gleichzeitig kritisch Stellung zur laufenden Revision der Energieverordnung. Die Botschaft ist klar: Die geplanten Verordnungsänderungen lösen die falschen Probleme, während systemische Lösungen auf dem Tisch liegen.</w:t>
      </w:r>
    </w:p>
    <w:p>
      <w:pPr>
        <w:pStyle w:val="Heading2"/>
        <w:spacing w:before="0" w:after="140"/>
        <w:rPr>
          <w:rFonts w:ascii="Open Sans" w:hAnsi="Open Sans"/>
          <w:sz w:val="22"/>
          <w:szCs w:val="22"/>
        </w:rPr>
      </w:pPr>
      <w:r>
        <w:rPr>
          <w:sz w:val="22"/>
          <w:szCs w:val="22"/>
        </w:rPr>
        <w:t>Stromgesetz-Ziele in Gefahr</w:t>
      </w:r>
    </w:p>
    <w:p>
      <w:pPr>
        <w:pStyle w:val="BodyText"/>
        <w:rPr>
          <w:rFonts w:ascii="Open Sans" w:hAnsi="Open Sans"/>
          <w:sz w:val="19"/>
        </w:rPr>
      </w:pPr>
      <w:r>
        <w:rPr>
          <w:rFonts w:ascii="Open Sans" w:hAnsi="Open Sans"/>
        </w:rPr>
        <w:t>Das Stromgesetz verlangt bis 2030 eine PV-Produktion von 18.7 TWh. Dies erfordert einen jährlichen Zubau von 2.5 bis 3 GWp – das Doppelte des aktuellen Tempos. Die notwendigen Investitionen von 3 bis 4 Milliarden Franken pro Jahr sollen zu 80 Prozent von Privaten kommen. Doch die vorgeschlagenen Verordnungsänderungen untergraben genau diese Investitionsbereitschaft.</w:t>
        <w:br/>
        <w:t>Auch überfordert die hohe Änderungsfrequenz bei Verordnungen die Branche. Mit Artikel 15 Absatz 1</w:t>
      </w:r>
      <w:r>
        <w:rPr>
          <w:rFonts w:ascii="Open Sans" w:hAnsi="Open Sans"/>
          <w:vertAlign w:val="superscript"/>
        </w:rPr>
        <w:t>bis</w:t>
      </w:r>
      <w:r>
        <w:rPr>
          <w:rFonts w:ascii="Open Sans" w:hAnsi="Open Sans"/>
        </w:rPr>
        <w:t xml:space="preserve"> EnG erhält der Bundesrat zudem weitreichende Kompetenzen für Regelungen bei negativen Preisen – ohne parlamentarische Mitsprachemöglichkeit.</w:t>
      </w:r>
    </w:p>
    <w:p>
      <w:pPr>
        <w:pStyle w:val="Heading2"/>
        <w:spacing w:before="0" w:after="140"/>
        <w:rPr>
          <w:rFonts w:ascii="Open Sans" w:hAnsi="Open Sans"/>
          <w:sz w:val="22"/>
          <w:szCs w:val="22"/>
        </w:rPr>
      </w:pPr>
      <w:r>
        <w:rPr>
          <w:sz w:val="22"/>
          <w:szCs w:val="22"/>
        </w:rPr>
        <w:t>Verordnungsrevision verfehlt Kernproblem</w:t>
      </w:r>
    </w:p>
    <w:p>
      <w:pPr>
        <w:pStyle w:val="BodyText"/>
        <w:rPr>
          <w:rFonts w:ascii="Open Sans" w:hAnsi="Open Sans"/>
          <w:sz w:val="19"/>
        </w:rPr>
      </w:pPr>
      <w:r>
        <w:rPr>
          <w:rFonts w:ascii="Open Sans" w:hAnsi="Open Sans"/>
        </w:rPr>
        <w:t>Die laufende Revision der Energieverordnung zielt darauf ab, PV-Betreibern die Vergütung bei negativen Strompreisen zu streichen. VESE hält fest: Nicht die negativen Preise sind problematisch, sondern deren Belastung für lokale Verteilnetzbetreiber. Zahlreiche VNB weisen zeitweise bereits mehr Solarstrom in ihrer Bilanzgruppe aus als Verbrauch durch ihre grundversorgten Kunden.</w:t>
      </w:r>
    </w:p>
    <w:p>
      <w:pPr>
        <w:pStyle w:val="BodyText"/>
        <w:rPr>
          <w:rFonts w:ascii="Open Sans" w:hAnsi="Open Sans"/>
          <w:sz w:val="19"/>
        </w:rPr>
      </w:pPr>
      <w:r>
        <w:rPr>
          <w:rFonts w:ascii="Open Sans" w:hAnsi="Open Sans"/>
        </w:rPr>
        <w:t>Die Konsequenzen der Vorlage:</w:t>
      </w:r>
    </w:p>
    <w:p>
      <w:pPr>
        <w:pStyle w:val="BodyText"/>
        <w:numPr>
          <w:ilvl w:val="0"/>
          <w:numId w:val="1"/>
        </w:numPr>
        <w:tabs>
          <w:tab w:val="clear" w:pos="720"/>
          <w:tab w:val="left" w:pos="0" w:leader="none"/>
        </w:tabs>
        <w:spacing w:before="0" w:after="0"/>
        <w:ind w:hanging="283" w:left="709"/>
        <w:rPr>
          <w:rFonts w:ascii="Open Sans" w:hAnsi="Open Sans"/>
          <w:sz w:val="19"/>
        </w:rPr>
      </w:pPr>
      <w:r>
        <w:rPr>
          <w:rStyle w:val="Strong"/>
          <w:rFonts w:ascii="Open Sans" w:hAnsi="Open Sans"/>
        </w:rPr>
        <w:t>Ertragsverluste bis 20 Prozent</w:t>
      </w:r>
      <w:r>
        <w:rPr>
          <w:rFonts w:ascii="Open Sans" w:hAnsi="Open Sans"/>
        </w:rPr>
        <w:t xml:space="preserve">: 2024 wurden 292 Negativstunden verzeichnet – eine Zunahme von 400 Prozent gegenüber 2023. Für 2025 werden 400 Negativstunden prognostiziert, was Ertragsverluste von rund 20 Prozent bedeutet. Anlagen ohne oder mit geringem Eigenverbrauch würden unrentabel. </w:t>
      </w:r>
    </w:p>
    <w:p>
      <w:pPr>
        <w:pStyle w:val="BodyText"/>
        <w:numPr>
          <w:ilvl w:val="0"/>
          <w:numId w:val="1"/>
        </w:numPr>
        <w:tabs>
          <w:tab w:val="clear" w:pos="720"/>
          <w:tab w:val="left" w:pos="0" w:leader="none"/>
        </w:tabs>
        <w:spacing w:before="0" w:after="0"/>
        <w:ind w:hanging="283" w:left="709"/>
        <w:rPr>
          <w:rFonts w:ascii="Open Sans" w:hAnsi="Open Sans"/>
          <w:sz w:val="19"/>
        </w:rPr>
      </w:pPr>
      <w:r>
        <w:rPr>
          <w:rStyle w:val="Strong"/>
          <w:rFonts w:ascii="Open Sans" w:hAnsi="Open Sans"/>
        </w:rPr>
        <w:t>Prognosen werden ungenauer</w:t>
      </w:r>
      <w:r>
        <w:rPr>
          <w:rFonts w:ascii="Open Sans" w:hAnsi="Open Sans"/>
        </w:rPr>
        <w:t xml:space="preserve">: Schalten PV-Anlagen bei Negativpreisen ab, müssen VNB kurzfristig im teureren Intradaymarkt beschaffen. Gleichzeitig können sie das Verhalten der PV-Betreiber nicht prognostizieren. </w:t>
      </w:r>
    </w:p>
    <w:p>
      <w:pPr>
        <w:pStyle w:val="BodyText"/>
        <w:numPr>
          <w:ilvl w:val="0"/>
          <w:numId w:val="1"/>
        </w:numPr>
        <w:tabs>
          <w:tab w:val="clear" w:pos="720"/>
          <w:tab w:val="left" w:pos="0" w:leader="none"/>
        </w:tabs>
        <w:ind w:hanging="283" w:left="709"/>
        <w:rPr>
          <w:rFonts w:ascii="Open Sans" w:hAnsi="Open Sans"/>
          <w:sz w:val="19"/>
        </w:rPr>
      </w:pPr>
      <w:r>
        <w:rPr>
          <w:rStyle w:val="Strong"/>
          <w:rFonts w:ascii="Open Sans" w:hAnsi="Open Sans"/>
        </w:rPr>
        <w:t>Investitionen blockiert</w:t>
      </w:r>
      <w:r>
        <w:rPr>
          <w:rFonts w:ascii="Open Sans" w:hAnsi="Open Sans"/>
        </w:rPr>
        <w:t xml:space="preserve">: Speicher und Power-to-X-Anwendungen benötigen grosse Preisspreads zur Refinanzierung. Diese werden mit den vorgeschlagenen Änderungen geringer. </w:t>
      </w:r>
    </w:p>
    <w:p>
      <w:pPr>
        <w:pStyle w:val="BodyText"/>
        <w:rPr>
          <w:rFonts w:ascii="Open Sans" w:hAnsi="Open Sans"/>
          <w:sz w:val="19"/>
        </w:rPr>
      </w:pPr>
      <w:r>
        <w:rPr>
          <w:rFonts w:ascii="Open Sans" w:hAnsi="Open Sans"/>
          <w:sz w:val="19"/>
        </w:rPr>
      </w:r>
    </w:p>
    <w:p>
      <w:pPr>
        <w:pStyle w:val="Heading2"/>
        <w:spacing w:before="0" w:after="140"/>
        <w:rPr>
          <w:rFonts w:ascii="Open Sans" w:hAnsi="Open Sans"/>
          <w:sz w:val="26"/>
          <w:szCs w:val="26"/>
        </w:rPr>
      </w:pPr>
      <w:r>
        <w:rPr>
          <w:sz w:val="26"/>
          <w:szCs w:val="26"/>
        </w:rPr>
        <w:t>Kurzstudie PV-Zubau 2.0: Zweisäulenmodell mit Wahlfreiheit</w:t>
      </w:r>
    </w:p>
    <w:p>
      <w:pPr>
        <w:pStyle w:val="BodyText"/>
        <w:rPr>
          <w:rFonts w:ascii="Open Sans" w:hAnsi="Open Sans"/>
          <w:sz w:val="19"/>
        </w:rPr>
      </w:pPr>
      <w:r>
        <w:rPr>
          <w:rFonts w:ascii="Open Sans" w:hAnsi="Open Sans"/>
        </w:rPr>
        <w:t>Das am 5. November veröffentlichte White Paper "PV-Zubau 2.0" schlägt ein Zweisäulenmodell vor: Jeder Investor entscheidet sich einmalig zwischen Investitionssicherheit oder Marktchancen – diese Wahl gilt für 20 Jahre.</w:t>
      </w:r>
    </w:p>
    <w:p>
      <w:pPr>
        <w:pStyle w:val="BodyText"/>
        <w:rPr>
          <w:rFonts w:ascii="Open Sans" w:hAnsi="Open Sans"/>
          <w:sz w:val="19"/>
        </w:rPr>
      </w:pPr>
      <w:r>
        <w:rPr>
          <w:rStyle w:val="Strong"/>
          <w:rFonts w:ascii="Open Sans" w:hAnsi="Open Sans"/>
        </w:rPr>
        <w:t>Säule 1 – Investitionssicherheit:</w:t>
      </w:r>
    </w:p>
    <w:p>
      <w:pPr>
        <w:pStyle w:val="BodyText"/>
        <w:numPr>
          <w:ilvl w:val="0"/>
          <w:numId w:val="2"/>
        </w:numPr>
        <w:tabs>
          <w:tab w:val="clear" w:pos="720"/>
          <w:tab w:val="left" w:pos="0" w:leader="none"/>
        </w:tabs>
        <w:spacing w:before="0" w:after="0"/>
        <w:ind w:hanging="283" w:left="709"/>
        <w:rPr>
          <w:rFonts w:ascii="Open Sans" w:hAnsi="Open Sans"/>
          <w:sz w:val="19"/>
        </w:rPr>
      </w:pPr>
      <w:r>
        <w:rPr>
          <w:rStyle w:val="Strong"/>
          <w:rFonts w:ascii="Open Sans" w:hAnsi="Open Sans"/>
        </w:rPr>
        <w:t>Kapazitätsmodell</w:t>
      </w:r>
      <w:r>
        <w:rPr>
          <w:rFonts w:ascii="Open Sans" w:hAnsi="Open Sans"/>
        </w:rPr>
        <w:t xml:space="preserve">: Fixer Preis pro kWp Leistung. Der VNB steuert die Einspeisung zwischen 0 und 100 Prozent, bei reduzierter Abnahme ist Eigenverbrauch möglich. Basiert auf bewährten Tolling-Verträgen. </w:t>
      </w:r>
    </w:p>
    <w:p>
      <w:pPr>
        <w:pStyle w:val="BodyText"/>
        <w:numPr>
          <w:ilvl w:val="0"/>
          <w:numId w:val="2"/>
        </w:numPr>
        <w:tabs>
          <w:tab w:val="clear" w:pos="720"/>
          <w:tab w:val="left" w:pos="0" w:leader="none"/>
        </w:tabs>
        <w:ind w:hanging="283" w:left="709"/>
        <w:rPr>
          <w:rFonts w:ascii="Open Sans" w:hAnsi="Open Sans"/>
          <w:sz w:val="19"/>
        </w:rPr>
      </w:pPr>
      <w:r>
        <w:rPr>
          <w:rStyle w:val="Strong"/>
          <w:rFonts w:ascii="Open Sans" w:hAnsi="Open Sans"/>
        </w:rPr>
        <w:t>Gleitende Marktprämie</w:t>
      </w:r>
      <w:r>
        <w:rPr>
          <w:rFonts w:ascii="Open Sans" w:hAnsi="Open Sans"/>
        </w:rPr>
        <w:t xml:space="preserve">: Weiterentwicklung des bestehenden Modells mit VNB-Steuerbarkeit und Integration der Herkunftsnachweise. </w:t>
      </w:r>
    </w:p>
    <w:p>
      <w:pPr>
        <w:pStyle w:val="BodyText"/>
        <w:rPr>
          <w:rFonts w:ascii="Open Sans" w:hAnsi="Open Sans"/>
          <w:sz w:val="19"/>
        </w:rPr>
      </w:pPr>
      <w:r>
        <w:rPr>
          <w:rStyle w:val="Strong"/>
          <w:rFonts w:ascii="Open Sans" w:hAnsi="Open Sans"/>
        </w:rPr>
        <w:t>Säule 2 – Marktorientierte Modelle:</w:t>
      </w:r>
    </w:p>
    <w:p>
      <w:pPr>
        <w:pStyle w:val="BodyText"/>
        <w:numPr>
          <w:ilvl w:val="0"/>
          <w:numId w:val="3"/>
        </w:numPr>
        <w:tabs>
          <w:tab w:val="clear" w:pos="720"/>
          <w:tab w:val="left" w:pos="0" w:leader="none"/>
        </w:tabs>
        <w:spacing w:before="0" w:after="0"/>
        <w:ind w:hanging="283" w:left="709"/>
        <w:rPr>
          <w:rFonts w:ascii="Open Sans" w:hAnsi="Open Sans"/>
          <w:sz w:val="19"/>
        </w:rPr>
      </w:pPr>
      <w:r>
        <w:rPr>
          <w:rStyle w:val="Strong"/>
          <w:rFonts w:ascii="Open Sans" w:hAnsi="Open Sans"/>
        </w:rPr>
        <w:t>Winter-KEV</w:t>
      </w:r>
      <w:r>
        <w:rPr>
          <w:rFonts w:ascii="Open Sans" w:hAnsi="Open Sans"/>
        </w:rPr>
        <w:t xml:space="preserve">: Fixer Winterpreis, Marktpreis im Sommer. Fördert Ost-West-Anlagen,  steile Aufständerungen und statische Einspeisebegrenzungen wie den TOP-40. </w:t>
      </w:r>
    </w:p>
    <w:p>
      <w:pPr>
        <w:pStyle w:val="BodyText"/>
        <w:numPr>
          <w:ilvl w:val="0"/>
          <w:numId w:val="3"/>
        </w:numPr>
        <w:tabs>
          <w:tab w:val="clear" w:pos="720"/>
          <w:tab w:val="left" w:pos="0" w:leader="none"/>
        </w:tabs>
        <w:ind w:hanging="283" w:left="709"/>
        <w:rPr>
          <w:rFonts w:ascii="Open Sans" w:hAnsi="Open Sans"/>
          <w:sz w:val="19"/>
        </w:rPr>
      </w:pPr>
      <w:r>
        <w:rPr>
          <w:rStyle w:val="Strong"/>
          <w:rFonts w:ascii="Open Sans" w:hAnsi="Open Sans"/>
        </w:rPr>
        <w:t>Smart-Grid-Bonus</w:t>
      </w:r>
      <w:r>
        <w:rPr>
          <w:rFonts w:ascii="Open Sans" w:hAnsi="Open Sans"/>
        </w:rPr>
        <w:t xml:space="preserve">: Echtzeit-Preissignale des VNB mit Malus bei Netzengpässen und Bonus bei Netzbedarf. </w:t>
      </w:r>
    </w:p>
    <w:p>
      <w:pPr>
        <w:pStyle w:val="Heading2"/>
        <w:rPr/>
      </w:pPr>
      <w:r>
        <w:rPr/>
        <w:t>Volkswirtschaftliche Vorteile</w:t>
      </w:r>
    </w:p>
    <w:p>
      <w:pPr>
        <w:pStyle w:val="BodyText"/>
        <w:rPr>
          <w:rFonts w:ascii="Open Sans" w:hAnsi="Open Sans"/>
          <w:sz w:val="19"/>
        </w:rPr>
      </w:pPr>
      <w:r>
        <w:rPr>
          <w:rFonts w:ascii="Open Sans" w:hAnsi="Open Sans"/>
        </w:rPr>
        <w:t>Die vorgeschlagenen Modelle sparen Milliarden: Intelligente Steuerung statt teurer Netzausbau, planbare Produktion reduziert Ausgleichsenergie, dezentrale Versorgung statt Importabhängigkeit. VESE schlägt eine pragmatische Umsetzung in drei Phasen vor, beginnend mit Proof-of-Concept-Projekten.</w:t>
      </w:r>
    </w:p>
    <w:p>
      <w:pPr>
        <w:pStyle w:val="Heading2"/>
        <w:spacing w:before="0" w:after="140"/>
        <w:rPr>
          <w:rFonts w:ascii="Open Sans" w:hAnsi="Open Sans"/>
          <w:sz w:val="19"/>
        </w:rPr>
      </w:pPr>
      <w:r>
        <w:rPr/>
        <w:t>Schweiz kann Vorreiter werden</w:t>
      </w:r>
    </w:p>
    <w:p>
      <w:pPr>
        <w:pStyle w:val="Normal"/>
        <w:spacing w:before="0" w:after="140"/>
        <w:rPr>
          <w:rFonts w:ascii="Open Sans" w:hAnsi="Open Sans"/>
          <w:sz w:val="19"/>
        </w:rPr>
      </w:pPr>
      <w:r>
        <w:rPr>
          <w:rFonts w:ascii="Open Sans" w:hAnsi="Open Sans"/>
        </w:rPr>
        <w:t>Die Energiewende ist auch ein Paradigmenwechsel: von wenigen Grosskraftwerken zu vielen, dezentralen und resilienten Kleinkraftwerken. Die Schweiz hat die Chance, mit intelligenten Modellen international zum Vorbild zu werden. PV ist erwachsen und Teil der kritischen Infrastruktur geworden – als solche muss sie behandelt werden. Dafür braucht es jetzt die richtigen Rahmenbedingungen, damit private Investoren die Energiezukunft mitgestalten können. Die vorgeschlagenen Lösungen verbinden Investitionssicherheit mit Markteffizienz und ermöglichen den Ausbau, den das Stromgesetz verlangt.</w:t>
      </w:r>
    </w:p>
    <w:p>
      <w:pPr>
        <w:pStyle w:val="Heading2"/>
        <w:rPr/>
      </w:pPr>
      <w:r>
        <w:rPr/>
        <w:t>Downloads</w:t>
      </w:r>
    </w:p>
    <w:p>
      <w:pPr>
        <w:pStyle w:val="Normal"/>
        <w:rPr/>
      </w:pPr>
      <w:hyperlink r:id="rId2">
        <w:r>
          <w:rPr>
            <w:rStyle w:val="Hyperlink"/>
          </w:rPr>
          <w:t>Vernehmlassungsantwort zu den Verordnungsänderungen vom September 2025 (Spotmarktpreise) &gt;&gt;</w:t>
        </w:r>
      </w:hyperlink>
    </w:p>
    <w:p>
      <w:pPr>
        <w:pStyle w:val="Normal"/>
        <w:rPr/>
      </w:pPr>
      <w:hyperlink r:id="rId3">
        <w:r>
          <w:rPr>
            <w:rStyle w:val="Hyperlink"/>
          </w:rPr>
          <w:t>White Paper PV-Zubau 2.0 &gt;&gt;</w:t>
        </w:r>
      </w:hyperlink>
    </w:p>
    <w:p>
      <w:pPr>
        <w:pStyle w:val="Heading2"/>
        <w:rPr/>
      </w:pPr>
      <w:r>
        <w:rPr/>
        <w:t>Kontakt</w:t>
      </w:r>
    </w:p>
    <w:p>
      <w:pPr>
        <w:pStyle w:val="Normal"/>
        <w:widowControl w:val="false"/>
        <w:suppressAutoHyphens w:val="true"/>
        <w:bidi w:val="0"/>
        <w:spacing w:lineRule="auto" w:line="276" w:before="0" w:after="200"/>
        <w:jc w:val="left"/>
        <w:rPr/>
      </w:pPr>
      <w:r>
        <w:rPr/>
        <w:t>Walter Sachs, Präsident VESE</w:t>
        <w:br/>
        <w:t xml:space="preserve">Tel. </w:t>
      </w:r>
      <w:hyperlink r:id="rId4">
        <w:r>
          <w:rPr>
            <w:rStyle w:val="Hyperlink"/>
          </w:rPr>
          <w:t>076 528 09 36</w:t>
        </w:r>
      </w:hyperlink>
      <w:r>
        <w:rPr/>
        <w:br/>
      </w:r>
      <w:hyperlink r:id="rId5">
        <w:r>
          <w:rPr>
            <w:rStyle w:val="Hyperlink"/>
          </w:rPr>
          <w:t>walter.sachs@vese.ch</w:t>
        </w:r>
      </w:hyperlink>
    </w:p>
    <w:sectPr>
      <w:headerReference w:type="even" r:id="rId6"/>
      <w:headerReference w:type="default" r:id="rId7"/>
      <w:headerReference w:type="first" r:id="rId8"/>
      <w:footerReference w:type="even" r:id="rId9"/>
      <w:footerReference w:type="default" r:id="rId10"/>
      <w:footerReference w:type="first" r:id="rId11"/>
      <w:type w:val="nextPage"/>
      <w:pgSz w:w="11906" w:h="16838"/>
      <w:pgMar w:left="1300" w:right="980" w:gutter="0" w:header="568" w:top="1560" w:footer="475" w:bottom="532"/>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Open Sans">
    <w:charset w:val="01"/>
    <w:family w:val="swiss"/>
    <w:pitch w:val="default"/>
  </w:font>
  <w:font w:name="OpenSymbol">
    <w:altName w:val="Arial Unicode MS"/>
    <w:charset w:val="01"/>
    <w:family w:val="swiss"/>
    <w:pitch w:val="default"/>
  </w:font>
  <w:font w:name="Liberation Sans">
    <w:altName w:val="Arial"/>
    <w:charset w:val="01"/>
    <w:family w:val="swiss"/>
    <w:pitch w:val="default"/>
  </w:font>
  <w:font w:name="Georgia">
    <w:charset w:val="01"/>
    <w:family w:val="roman"/>
    <w:pitch w:val="default"/>
  </w:font>
  <w:font w:name="Liberation Mono">
    <w:altName w:val="Courier New"/>
    <w:charset w:val="01"/>
    <w:family w:val="swiss"/>
    <w:pitch w:val="default"/>
  </w:font>
  <w:font w:name="Arial">
    <w:charset w:val="01"/>
    <w:family w:val="swiss"/>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199" w:before="0" w:after="0"/>
      <w:jc w:val="right"/>
      <w:rPr>
        <w:sz w:val="20"/>
        <w:szCs w:val="20"/>
      </w:rPr>
    </w:pPr>
    <w:bookmarkStart w:id="0" w:name="PageNumWizard_FOOTER_Standard2"/>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bookmarkEnd w:id="0"/>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199" w:before="0" w:after="0"/>
      <w:jc w:val="right"/>
      <w:rPr>
        <w:sz w:val="20"/>
        <w:szCs w:val="20"/>
      </w:rPr>
    </w:pPr>
    <w:bookmarkStart w:id="1" w:name="PageNumWizard_FOOTER_Standard2"/>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bookmarkEnd w:id="1"/>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199" w:before="0" w:after="0"/>
      <w:rPr>
        <w:sz w:val="20"/>
        <w:szCs w:val="20"/>
      </w:rPr>
    </w:pPr>
    <w:r>
      <w:rPr>
        <w:sz w:val="20"/>
        <w:szCs w:val="20"/>
      </w:rPr>
      <mc:AlternateContent>
        <mc:Choice Requires="wps">
          <w:drawing>
            <wp:anchor behindDoc="1" distT="0" distB="0" distL="0" distR="0" simplePos="0" locked="0" layoutInCell="0" allowOverlap="1" relativeHeight="4" wp14:anchorId="4178B58B">
              <wp:simplePos x="0" y="0"/>
              <wp:positionH relativeFrom="page">
                <wp:posOffset>868680</wp:posOffset>
              </wp:positionH>
              <wp:positionV relativeFrom="page">
                <wp:posOffset>322580</wp:posOffset>
              </wp:positionV>
              <wp:extent cx="4488180" cy="579120"/>
              <wp:effectExtent l="0" t="0" r="0" b="0"/>
              <wp:wrapNone/>
              <wp:docPr id="1" name="Rectangle 5"/>
              <a:graphic xmlns:a="http://schemas.openxmlformats.org/drawingml/2006/main">
                <a:graphicData uri="http://schemas.microsoft.com/office/word/2010/wordprocessingShape">
                  <wps:wsp>
                    <wps:cNvSpPr/>
                    <wps:spPr>
                      <a:xfrm>
                        <a:off x="0" y="0"/>
                        <a:ext cx="4488120" cy="579240"/>
                      </a:xfrm>
                      <a:prstGeom prst="rect">
                        <a:avLst/>
                      </a:prstGeom>
                      <a:solidFill>
                        <a:schemeClr val="lt1"/>
                      </a:solidFill>
                      <a:ln w="0">
                        <a:noFill/>
                      </a:ln>
                    </wps:spPr>
                    <wps:style>
                      <a:lnRef idx="0"/>
                      <a:fillRef idx="0"/>
                      <a:effectRef idx="0"/>
                      <a:fontRef idx="minor"/>
                    </wps:style>
                    <wps:txbx>
                      <w:txbxContent>
                        <w:p>
                          <w:pPr>
                            <w:pStyle w:val="Rahmeninhalt"/>
                            <w:spacing w:lineRule="auto" w:line="223" w:before="0" w:after="0"/>
                            <w:ind w:left="20" w:right="-50"/>
                            <w:rPr/>
                          </w:pPr>
                          <w:r>
                            <w:rPr>
                              <w:rFonts w:eastAsia="Arial" w:cs="Arial" w:ascii="Arial" w:hAnsi="Arial"/>
                              <w:b/>
                              <w:color w:val="014669"/>
                              <w:sz w:val="20"/>
                            </w:rPr>
                            <w:t>VESE -Verband unabhängiger Energieerzeuger, eine Fachgruppe der SSES</w:t>
                          </w:r>
                        </w:p>
                        <w:p>
                          <w:pPr>
                            <w:pStyle w:val="Rahmeninhalt"/>
                            <w:spacing w:lineRule="auto" w:line="240" w:before="0" w:after="0"/>
                            <w:rPr/>
                          </w:pPr>
                          <w:r>
                            <w:rPr>
                              <w:color w:val="1F497D"/>
                              <w:sz w:val="18"/>
                            </w:rPr>
                            <w:t>Aarbergergasse 21, 3011 Bern, www.vese.ch,Tel. 031 371 80 00, E-Mail info@vese.ch</w:t>
                          </w:r>
                        </w:p>
                        <w:p>
                          <w:pPr>
                            <w:pStyle w:val="Rahmeninhalt"/>
                            <w:spacing w:lineRule="auto" w:line="240" w:before="0" w:after="0"/>
                            <w:ind w:firstLine="80" w:left="20" w:right="-20"/>
                            <w:rPr>
                              <w:color w:val="000000"/>
                            </w:rPr>
                          </w:pPr>
                          <w:r>
                            <w:rPr>
                              <w:color w:val="000000"/>
                            </w:rPr>
                          </w:r>
                        </w:p>
                      </w:txbxContent>
                    </wps:txbx>
                    <wps:bodyPr lIns="0" rIns="0" tIns="0" bIns="0" anchor="t">
                      <a:noAutofit/>
                    </wps:bodyPr>
                  </wps:wsp>
                </a:graphicData>
              </a:graphic>
            </wp:anchor>
          </w:drawing>
        </mc:Choice>
        <mc:Fallback>
          <w:pict>
            <v:rect id="shape_0" fillcolor="white" stroked="f" o:allowincell="f" style="position:absolute;margin-left:68.4pt;margin-top:25.4pt;width:353.35pt;height:45.55pt;mso-wrap-style:square;v-text-anchor:top;mso-position-horizontal-relative:page;mso-position-vertical-relative:page" wp14:anchorId="4178B58B">
              <v:fill o:detectmouseclick="t" type="solid" color2="black"/>
              <v:stroke color="#3465a4" joinstyle="round" endcap="flat"/>
              <v:textbox>
                <w:txbxContent>
                  <w:p>
                    <w:pPr>
                      <w:pStyle w:val="Rahmeninhalt"/>
                      <w:spacing w:lineRule="auto" w:line="223" w:before="0" w:after="0"/>
                      <w:ind w:left="20" w:right="-50"/>
                      <w:rPr/>
                    </w:pPr>
                    <w:r>
                      <w:rPr>
                        <w:rFonts w:eastAsia="Arial" w:cs="Arial" w:ascii="Arial" w:hAnsi="Arial"/>
                        <w:b/>
                        <w:color w:val="014669"/>
                        <w:sz w:val="20"/>
                      </w:rPr>
                      <w:t>VESE -Verband unabhängiger Energieerzeuger, eine Fachgruppe der SSES</w:t>
                    </w:r>
                  </w:p>
                  <w:p>
                    <w:pPr>
                      <w:pStyle w:val="Rahmeninhalt"/>
                      <w:spacing w:lineRule="auto" w:line="240" w:before="0" w:after="0"/>
                      <w:rPr/>
                    </w:pPr>
                    <w:r>
                      <w:rPr>
                        <w:color w:val="1F497D"/>
                        <w:sz w:val="18"/>
                      </w:rPr>
                      <w:t>Aarbergergasse 21, 3011 Bern, www.vese.ch,Tel. 031 371 80 00, E-Mail info@vese.ch</w:t>
                    </w:r>
                  </w:p>
                  <w:p>
                    <w:pPr>
                      <w:pStyle w:val="Rahmeninhalt"/>
                      <w:spacing w:lineRule="auto" w:line="240" w:before="0" w:after="0"/>
                      <w:ind w:firstLine="80" w:left="20" w:right="-20"/>
                      <w:rPr>
                        <w:color w:val="000000"/>
                      </w:rPr>
                    </w:pPr>
                    <w:r>
                      <w:rPr>
                        <w:color w:val="000000"/>
                      </w:rPr>
                    </w:r>
                  </w:p>
                </w:txbxContent>
              </v:textbox>
              <w10:wrap type="none"/>
            </v:rect>
          </w:pict>
        </mc:Fallback>
      </mc:AlternateContent>
      <w:drawing>
        <wp:anchor behindDoc="1" distT="0" distB="0" distL="0" distR="0" simplePos="0" locked="0" layoutInCell="0" allowOverlap="1" relativeHeight="8">
          <wp:simplePos x="0" y="0"/>
          <wp:positionH relativeFrom="page">
            <wp:posOffset>5605145</wp:posOffset>
          </wp:positionH>
          <wp:positionV relativeFrom="page">
            <wp:posOffset>402590</wp:posOffset>
          </wp:positionV>
          <wp:extent cx="1257300" cy="411480"/>
          <wp:effectExtent l="0" t="0" r="0" b="0"/>
          <wp:wrapNone/>
          <wp:docPr id="2" nam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g"/>
                  <pic:cNvPicPr>
                    <a:picLocks noChangeAspect="1" noChangeArrowheads="1"/>
                  </pic:cNvPicPr>
                </pic:nvPicPr>
                <pic:blipFill>
                  <a:blip r:embed="rId1"/>
                  <a:stretch>
                    <a:fillRect/>
                  </a:stretch>
                </pic:blipFill>
                <pic:spPr bwMode="auto">
                  <a:xfrm>
                    <a:off x="0" y="0"/>
                    <a:ext cx="1257300" cy="411480"/>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199" w:before="0" w:after="0"/>
      <w:rPr>
        <w:sz w:val="20"/>
        <w:szCs w:val="20"/>
      </w:rPr>
    </w:pPr>
    <w:r>
      <w:rPr>
        <w:sz w:val="20"/>
        <w:szCs w:val="20"/>
      </w:rPr>
      <mc:AlternateContent>
        <mc:Choice Requires="wps">
          <w:drawing>
            <wp:anchor behindDoc="1" distT="0" distB="0" distL="0" distR="0" simplePos="0" locked="0" layoutInCell="0" allowOverlap="1" relativeHeight="4" wp14:anchorId="4178B58B">
              <wp:simplePos x="0" y="0"/>
              <wp:positionH relativeFrom="page">
                <wp:posOffset>868680</wp:posOffset>
              </wp:positionH>
              <wp:positionV relativeFrom="page">
                <wp:posOffset>322580</wp:posOffset>
              </wp:positionV>
              <wp:extent cx="4488180" cy="579120"/>
              <wp:effectExtent l="0" t="0" r="0" b="0"/>
              <wp:wrapNone/>
              <wp:docPr id="3" name="Rectangle 5"/>
              <a:graphic xmlns:a="http://schemas.openxmlformats.org/drawingml/2006/main">
                <a:graphicData uri="http://schemas.microsoft.com/office/word/2010/wordprocessingShape">
                  <wps:wsp>
                    <wps:cNvSpPr/>
                    <wps:spPr>
                      <a:xfrm>
                        <a:off x="0" y="0"/>
                        <a:ext cx="4488120" cy="579240"/>
                      </a:xfrm>
                      <a:prstGeom prst="rect">
                        <a:avLst/>
                      </a:prstGeom>
                      <a:solidFill>
                        <a:schemeClr val="lt1"/>
                      </a:solidFill>
                      <a:ln w="0">
                        <a:noFill/>
                      </a:ln>
                    </wps:spPr>
                    <wps:style>
                      <a:lnRef idx="0"/>
                      <a:fillRef idx="0"/>
                      <a:effectRef idx="0"/>
                      <a:fontRef idx="minor"/>
                    </wps:style>
                    <wps:txbx>
                      <w:txbxContent>
                        <w:p>
                          <w:pPr>
                            <w:pStyle w:val="Rahmeninhalt"/>
                            <w:spacing w:lineRule="auto" w:line="223" w:before="0" w:after="0"/>
                            <w:ind w:left="20" w:right="-50"/>
                            <w:rPr/>
                          </w:pPr>
                          <w:r>
                            <w:rPr>
                              <w:rFonts w:eastAsia="Arial" w:cs="Arial" w:ascii="Arial" w:hAnsi="Arial"/>
                              <w:b/>
                              <w:color w:val="014669"/>
                              <w:sz w:val="20"/>
                            </w:rPr>
                            <w:t>VESE -Verband unabhängiger Energieerzeuger, eine Fachgruppe der SSES</w:t>
                          </w:r>
                        </w:p>
                        <w:p>
                          <w:pPr>
                            <w:pStyle w:val="Rahmeninhalt"/>
                            <w:spacing w:lineRule="auto" w:line="240" w:before="0" w:after="0"/>
                            <w:rPr/>
                          </w:pPr>
                          <w:r>
                            <w:rPr>
                              <w:color w:val="1F497D"/>
                              <w:sz w:val="18"/>
                            </w:rPr>
                            <w:t>Aarbergergasse 21, 3011 Bern, www.vese.ch,Tel. 031 371 80 00, E-Mail info@vese.ch</w:t>
                          </w:r>
                        </w:p>
                        <w:p>
                          <w:pPr>
                            <w:pStyle w:val="Rahmeninhalt"/>
                            <w:spacing w:lineRule="auto" w:line="240" w:before="0" w:after="0"/>
                            <w:ind w:firstLine="80" w:left="20" w:right="-20"/>
                            <w:rPr>
                              <w:color w:val="000000"/>
                            </w:rPr>
                          </w:pPr>
                          <w:r>
                            <w:rPr>
                              <w:color w:val="000000"/>
                            </w:rPr>
                          </w:r>
                        </w:p>
                      </w:txbxContent>
                    </wps:txbx>
                    <wps:bodyPr lIns="0" rIns="0" tIns="0" bIns="0" anchor="t">
                      <a:noAutofit/>
                    </wps:bodyPr>
                  </wps:wsp>
                </a:graphicData>
              </a:graphic>
            </wp:anchor>
          </w:drawing>
        </mc:Choice>
        <mc:Fallback>
          <w:pict>
            <v:rect id="shape_0" fillcolor="white" stroked="f" o:allowincell="f" style="position:absolute;margin-left:68.4pt;margin-top:25.4pt;width:353.35pt;height:45.55pt;mso-wrap-style:square;v-text-anchor:top;mso-position-horizontal-relative:page;mso-position-vertical-relative:page" wp14:anchorId="4178B58B">
              <v:fill o:detectmouseclick="t" type="solid" color2="black"/>
              <v:stroke color="#3465a4" joinstyle="round" endcap="flat"/>
              <v:textbox>
                <w:txbxContent>
                  <w:p>
                    <w:pPr>
                      <w:pStyle w:val="Rahmeninhalt"/>
                      <w:spacing w:lineRule="auto" w:line="223" w:before="0" w:after="0"/>
                      <w:ind w:left="20" w:right="-50"/>
                      <w:rPr/>
                    </w:pPr>
                    <w:r>
                      <w:rPr>
                        <w:rFonts w:eastAsia="Arial" w:cs="Arial" w:ascii="Arial" w:hAnsi="Arial"/>
                        <w:b/>
                        <w:color w:val="014669"/>
                        <w:sz w:val="20"/>
                      </w:rPr>
                      <w:t>VESE -Verband unabhängiger Energieerzeuger, eine Fachgruppe der SSES</w:t>
                    </w:r>
                  </w:p>
                  <w:p>
                    <w:pPr>
                      <w:pStyle w:val="Rahmeninhalt"/>
                      <w:spacing w:lineRule="auto" w:line="240" w:before="0" w:after="0"/>
                      <w:rPr/>
                    </w:pPr>
                    <w:r>
                      <w:rPr>
                        <w:color w:val="1F497D"/>
                        <w:sz w:val="18"/>
                      </w:rPr>
                      <w:t>Aarbergergasse 21, 3011 Bern, www.vese.ch,Tel. 031 371 80 00, E-Mail info@vese.ch</w:t>
                    </w:r>
                  </w:p>
                  <w:p>
                    <w:pPr>
                      <w:pStyle w:val="Rahmeninhalt"/>
                      <w:spacing w:lineRule="auto" w:line="240" w:before="0" w:after="0"/>
                      <w:ind w:firstLine="80" w:left="20" w:right="-20"/>
                      <w:rPr>
                        <w:color w:val="000000"/>
                      </w:rPr>
                    </w:pPr>
                    <w:r>
                      <w:rPr>
                        <w:color w:val="000000"/>
                      </w:rPr>
                    </w:r>
                  </w:p>
                </w:txbxContent>
              </v:textbox>
              <w10:wrap type="none"/>
            </v:rect>
          </w:pict>
        </mc:Fallback>
      </mc:AlternateContent>
      <w:drawing>
        <wp:anchor behindDoc="1" distT="0" distB="0" distL="0" distR="0" simplePos="0" locked="0" layoutInCell="0" allowOverlap="1" relativeHeight="8">
          <wp:simplePos x="0" y="0"/>
          <wp:positionH relativeFrom="page">
            <wp:posOffset>5605145</wp:posOffset>
          </wp:positionH>
          <wp:positionV relativeFrom="page">
            <wp:posOffset>402590</wp:posOffset>
          </wp:positionV>
          <wp:extent cx="1257300" cy="411480"/>
          <wp:effectExtent l="0" t="0" r="0" b="0"/>
          <wp:wrapNone/>
          <wp:docPr id="4" nam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g"/>
                  <pic:cNvPicPr>
                    <a:picLocks noChangeAspect="1" noChangeArrowheads="1"/>
                  </pic:cNvPicPr>
                </pic:nvPicPr>
                <pic:blipFill>
                  <a:blip r:embed="rId1"/>
                  <a:stretch>
                    <a:fillRect/>
                  </a:stretch>
                </pic:blipFill>
                <pic:spPr bwMode="auto">
                  <a:xfrm>
                    <a:off x="0" y="0"/>
                    <a:ext cx="1257300" cy="411480"/>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51"/>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fr-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de-CH" w:eastAsia="fr-CH"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lineRule="auto" w:line="276" w:before="0" w:after="200"/>
      <w:jc w:val="left"/>
    </w:pPr>
    <w:rPr>
      <w:rFonts w:ascii="Calibri" w:hAnsi="Calibri" w:eastAsia="Calibri" w:cs="Calibri"/>
      <w:color w:val="auto"/>
      <w:kern w:val="0"/>
      <w:sz w:val="22"/>
      <w:szCs w:val="22"/>
      <w:lang w:val="de-CH" w:eastAsia="fr-CH"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0" w:after="140"/>
      <w:outlineLvl w:val="1"/>
    </w:pPr>
    <w:rPr>
      <w:rFonts w:ascii="Open Sans" w:hAnsi="Open Sans"/>
      <w:b/>
      <w:sz w:val="22"/>
      <w:szCs w:val="22"/>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En-tteCar" w:customStyle="1">
    <w:name w:val="En-tête Car"/>
    <w:basedOn w:val="DefaultParagraphFont"/>
    <w:uiPriority w:val="99"/>
    <w:qFormat/>
    <w:rsid w:val="00d92f2c"/>
    <w:rPr/>
  </w:style>
  <w:style w:type="character" w:styleId="PieddepageCar" w:customStyle="1">
    <w:name w:val="Pied de page Car"/>
    <w:basedOn w:val="DefaultParagraphFont"/>
    <w:uiPriority w:val="99"/>
    <w:qFormat/>
    <w:rsid w:val="00d92f2c"/>
    <w:rPr/>
  </w:style>
  <w:style w:type="character" w:styleId="LineNumber">
    <w:name w:val="line number"/>
    <w:rPr/>
  </w:style>
  <w:style w:type="character" w:styleId="Hyperlink">
    <w:name w:val="Hyperlink"/>
    <w:rPr>
      <w:color w:val="000080"/>
      <w:u w:val="single"/>
    </w:rPr>
  </w:style>
  <w:style w:type="character" w:styleId="Strong">
    <w:name w:val="Strong"/>
    <w:qFormat/>
    <w:rPr>
      <w:b/>
      <w:bCs/>
    </w:rPr>
  </w:style>
  <w:style w:type="character" w:styleId="Aufzhlungszeichen">
    <w:name w:val="Aufzählungszeichen"/>
    <w:qFormat/>
    <w:rPr>
      <w:rFonts w:ascii="OpenSymbol" w:hAnsi="OpenSymbol" w:eastAsia="OpenSymbol" w:cs="OpenSymbol"/>
    </w:rPr>
  </w:style>
  <w:style w:type="paragraph" w:styleId="berschrift">
    <w:name w:val="Überschrift"/>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Liberation Sans" w:hAnsi="Liberation Sans" w:cs="Noto Sans Devanagari"/>
    </w:rPr>
  </w:style>
  <w:style w:type="paragraph" w:styleId="Caption">
    <w:name w:val="caption"/>
    <w:basedOn w:val="Normal"/>
    <w:qFormat/>
    <w:pPr>
      <w:suppressLineNumbers/>
      <w:spacing w:before="120" w:after="120"/>
    </w:pPr>
    <w:rPr>
      <w:rFonts w:ascii="Liberation Sans" w:hAnsi="Liberation Sans" w:cs="Noto Sans Devanagari"/>
      <w:i/>
      <w:iCs/>
      <w:sz w:val="24"/>
      <w:szCs w:val="24"/>
    </w:rPr>
  </w:style>
  <w:style w:type="paragraph" w:styleId="Verzeichnis">
    <w:name w:val="Verzeichnis"/>
    <w:basedOn w:val="Normal"/>
    <w:qFormat/>
    <w:pPr>
      <w:suppressLineNumbers/>
    </w:pPr>
    <w:rPr>
      <w:rFonts w:ascii="Liberation Sans" w:hAnsi="Liberation Sans" w:cs="Noto Sans Devanagari"/>
    </w:rPr>
  </w:style>
  <w:style w:type="paragraph" w:styleId="berschriftuser">
    <w:name w:val="Überschrift (user)"/>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Verzeichnisuser">
    <w:name w:val="Verzeichnis (user)"/>
    <w:basedOn w:val="Normal"/>
    <w:qFormat/>
    <w:pPr>
      <w:suppressLineNumbers/>
    </w:pPr>
    <w:rPr>
      <w:rFonts w:ascii="Liberation Sans" w:hAnsi="Liberation Sans" w:cs="Noto Sans Devanagari"/>
    </w:rPr>
  </w:style>
  <w:style w:type="paragraph" w:styleId="Title">
    <w:name w:val="Title"/>
    <w:basedOn w:val="Normal"/>
    <w:next w:val="Normal"/>
    <w:uiPriority w:val="10"/>
    <w:qFormat/>
    <w:pPr>
      <w:keepNext w:val="true"/>
      <w:keepLines/>
      <w:spacing w:before="480" w:after="120"/>
    </w:pPr>
    <w:rPr>
      <w:b/>
      <w:sz w:val="72"/>
      <w:szCs w:val="72"/>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Kopf-Fuzeile">
    <w:name w:val="Kopf-/Fußzeile"/>
    <w:basedOn w:val="Normal"/>
    <w:qFormat/>
    <w:pPr/>
    <w:rPr/>
  </w:style>
  <w:style w:type="paragraph" w:styleId="Kopf-Fuzeileuser">
    <w:name w:val="Kopf-/Fußzeile (user)"/>
    <w:basedOn w:val="Normal"/>
    <w:qFormat/>
    <w:pPr/>
    <w:rPr/>
  </w:style>
  <w:style w:type="paragraph" w:styleId="Header">
    <w:name w:val="header"/>
    <w:basedOn w:val="Normal"/>
    <w:link w:val="En-tteCar"/>
    <w:uiPriority w:val="99"/>
    <w:unhideWhenUsed/>
    <w:rsid w:val="00d92f2c"/>
    <w:pPr>
      <w:tabs>
        <w:tab w:val="clear" w:pos="720"/>
        <w:tab w:val="center" w:pos="4513" w:leader="none"/>
        <w:tab w:val="right" w:pos="9026" w:leader="none"/>
      </w:tabs>
      <w:spacing w:lineRule="auto" w:line="240" w:before="0" w:after="0"/>
    </w:pPr>
    <w:rPr/>
  </w:style>
  <w:style w:type="paragraph" w:styleId="Footer">
    <w:name w:val="footer"/>
    <w:basedOn w:val="Normal"/>
    <w:link w:val="PieddepageCar"/>
    <w:uiPriority w:val="99"/>
    <w:unhideWhenUsed/>
    <w:rsid w:val="00d92f2c"/>
    <w:pPr>
      <w:tabs>
        <w:tab w:val="clear" w:pos="720"/>
        <w:tab w:val="center" w:pos="4513" w:leader="none"/>
        <w:tab w:val="right" w:pos="9026" w:leader="none"/>
      </w:tabs>
      <w:spacing w:lineRule="auto" w:line="240" w:before="0" w:after="0"/>
    </w:pPr>
    <w:rPr/>
  </w:style>
  <w:style w:type="paragraph" w:styleId="Rahmeninhalt">
    <w:name w:val="Rahmeninhalt"/>
    <w:basedOn w:val="Normal"/>
    <w:qFormat/>
    <w:pPr/>
    <w:rPr/>
  </w:style>
  <w:style w:type="paragraph" w:styleId="Kommentar">
    <w:name w:val="Kommentar"/>
    <w:basedOn w:val="Normal"/>
    <w:qFormat/>
    <w:pPr>
      <w:spacing w:lineRule="auto" w:line="240" w:before="56" w:after="0"/>
      <w:ind w:hanging="0" w:left="57" w:right="57"/>
    </w:pPr>
    <w:rPr>
      <w:color w:val="auto"/>
      <w:sz w:val="20"/>
      <w:szCs w:val="20"/>
    </w:rPr>
  </w:style>
  <w:style w:type="paragraph" w:styleId="Rahmeninhaltuser">
    <w:name w:val="Rahmeninhalt (user)"/>
    <w:basedOn w:val="Normal"/>
    <w:qFormat/>
    <w:pPr/>
    <w:rPr/>
  </w:style>
  <w:style w:type="paragraph" w:styleId="VorformatierterText">
    <w:name w:val="Vorformatierter Text"/>
    <w:basedOn w:val="Normal"/>
    <w:qFormat/>
    <w:pPr>
      <w:spacing w:before="0" w:after="0"/>
    </w:pPr>
    <w:rPr>
      <w:rFonts w:ascii="Liberation Mono" w:hAnsi="Liberation Mono" w:eastAsia="Liberation Mono" w:cs="Liberation Mono"/>
      <w:sz w:val="20"/>
      <w:szCs w:val="20"/>
    </w:rPr>
  </w:style>
  <w:style w:type="numbering" w:styleId="KeineListe" w:default="1">
    <w:name w:val="Keine Liste"/>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vese.ch/wp-content/uploads/VESE_Vernehmlassungsantwort_Verordnungen_Energiebereich_Sept2025.pdf" TargetMode="External"/><Relationship Id="rId3" Type="http://schemas.openxmlformats.org/officeDocument/2006/relationships/hyperlink" Target="https://www.vese.ch/wp-content/uploads/VESE_Whitepaper_PV-Zubau_2-0.pdf" TargetMode="External"/><Relationship Id="rId4" Type="http://schemas.openxmlformats.org/officeDocument/2006/relationships/hyperlink" Target="tel:+41765280936" TargetMode="External"/><Relationship Id="rId5" Type="http://schemas.openxmlformats.org/officeDocument/2006/relationships/hyperlink" Target="mailto:walter.sachs@vese.ch"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z5hOFxztxRU4FxWgkQPZ/Q+nf8A==">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250</TotalTime>
  <Application>LibreOffice/25.8.4.2$Linux_X86_64 LibreOffice_project/580$Build-2</Application>
  <AppVersion>15.0000</AppVersion>
  <Pages>2</Pages>
  <Words>561</Words>
  <Characters>4060</Characters>
  <CharactersWithSpaces>4605</CharactersWithSpaces>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2025-10-02T06:25:00Z</dcterms:created>
  <dc:creator>diego</dc:creator>
  <dc:description/>
  <dc:language>de-CH</dc:language>
  <cp:lastModifiedBy>Walter Sachs</cp:lastModifiedBy>
  <cp:lastPrinted>2025-11-05T10:50:31Z</cp:lastPrinted>
  <dcterms:modified xsi:type="dcterms:W3CDTF">2026-02-24T15:22:03Z</dcterms:modified>
  <cp:revision>22</cp:revision>
  <dc:subject/>
  <dc:title>VESE Medienmitteilung White Paper "PV-Zubau 2.0" und Vernehmlassungsantwort Negativpreise</dc:title>
</cp:coreProperties>
</file>

<file path=docProps/custom.xml><?xml version="1.0" encoding="utf-8"?>
<Properties xmlns="http://schemas.openxmlformats.org/officeDocument/2006/custom-properties" xmlns:vt="http://schemas.openxmlformats.org/officeDocument/2006/docPropsVTypes"/>
</file>