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20" w:after="0"/>
        <w:ind w:hanging="0" w:left="0" w:right="0"/>
        <w:jc w:val="both"/>
        <w:rPr>
          <w:rFonts w:ascii="Open Sans" w:hAnsi="Open Sans"/>
        </w:rPr>
      </w:pPr>
      <w:r>
        <w:rPr>
          <w:rFonts w:eastAsia="Arial" w:cs="Arial" w:ascii="Open Sans" w:hAnsi="Open Sans"/>
          <w:b/>
          <w:sz w:val="24"/>
          <w:szCs w:val="24"/>
        </w:rPr>
        <w:t>Communiqué de presse</w:t>
        <w:tab/>
      </w:r>
      <w:r>
        <w:rPr>
          <w:rFonts w:eastAsia="Arial" w:cs="Arial" w:ascii="Open Sans" w:hAnsi="Open Sans"/>
          <w:b/>
          <w:sz w:val="20"/>
          <w:szCs w:val="20"/>
        </w:rPr>
        <w:tab/>
        <w:tab/>
        <w:tab/>
        <w:tab/>
        <w:tab/>
        <w:tab/>
        <w:t xml:space="preserve">  </w:t>
      </w:r>
      <w:r>
        <w:rPr>
          <w:rFonts w:eastAsia="Arial" w:cs="Arial" w:ascii="Open Sans" w:hAnsi="Open Sans"/>
          <w:b w:val="false"/>
          <w:bCs w:val="false"/>
          <w:sz w:val="20"/>
          <w:szCs w:val="20"/>
        </w:rPr>
        <w:t>Berne, 10 julliet 2026</w:t>
      </w:r>
    </w:p>
    <w:p>
      <w:pPr>
        <w:pStyle w:val="Normal"/>
        <w:spacing w:lineRule="auto" w:line="240" w:before="120" w:after="0"/>
        <w:ind w:right="6663"/>
        <w:jc w:val="both"/>
        <w:rPr>
          <w:rFonts w:ascii="Open Sans" w:hAnsi="Open Sans" w:eastAsia="Arial" w:cs="Arial"/>
          <w:sz w:val="20"/>
          <w:szCs w:val="20"/>
        </w:rPr>
      </w:pPr>
      <w:r>
        <w:rPr>
          <w:rFonts w:eastAsia="Arial" w:cs="Arial" w:ascii="Open Sans" w:hAnsi="Open Sans"/>
          <w:sz w:val="20"/>
          <w:szCs w:val="20"/>
        </w:rPr>
      </w:r>
    </w:p>
    <w:p>
      <w:pPr>
        <w:pStyle w:val="Heading1"/>
        <w:rPr>
          <w:rFonts w:ascii="Open Sans" w:hAnsi="Open Sans"/>
          <w:sz w:val="22"/>
          <w:szCs w:val="22"/>
        </w:rPr>
      </w:pPr>
      <w:r>
        <w:rPr>
          <w:rFonts w:ascii="Open Sans" w:hAnsi="Open Sans"/>
          <w:sz w:val="22"/>
          <w:szCs w:val="22"/>
        </w:rPr>
        <w:t>Le développement du photovoltaïque manque les objectifs de la loi sur l’électricité : VESE demande un changement de paradigme fondamental dans l'encouragement de l'énergie solaire</w:t>
      </w:r>
    </w:p>
    <w:p>
      <w:pPr>
        <w:pStyle w:val="BodyText"/>
        <w:rPr>
          <w:rFonts w:ascii="Open Sans" w:hAnsi="Open Sans"/>
        </w:rPr>
      </w:pPr>
      <w:r>
        <w:rPr>
          <w:rFonts w:ascii="Open Sans" w:hAnsi="Open Sans"/>
        </w:rPr>
      </w:r>
    </w:p>
    <w:p>
      <w:pPr>
        <w:pStyle w:val="BodyText"/>
        <w:rPr>
          <w:rFonts w:ascii="Open Sans" w:hAnsi="Open Sans"/>
          <w:b/>
          <w:bCs/>
        </w:rPr>
      </w:pPr>
      <w:r>
        <w:rPr>
          <w:rFonts w:ascii="Open Sans" w:hAnsi="Open Sans"/>
          <w:b/>
          <w:bCs/>
        </w:rPr>
        <w:t>Berne, le 10 juillet 2026 – Dans le cadre de la consultation en cours sur la révision de l’ordonnance sur l’encouragement de la production d’électricité issue d’énergies renouvelables (OEneR), l’Association des producteurs d’énergie indépendants (VESE) a pris position. L’association constate que des rétributions uniques plus élevées ne suffisent pas à elles seules. Il est urgent de repenser fondamentalement les instruments d’encouragement – l’adaptation des rétributions uniques n’étant qu’une mesure d’urgence à court terme.</w:t>
      </w:r>
    </w:p>
    <w:p>
      <w:pPr>
        <w:pStyle w:val="BodyText"/>
        <w:rPr>
          <w:rFonts w:ascii="Open Sans" w:hAnsi="Open Sans"/>
        </w:rPr>
      </w:pPr>
      <w:r>
        <w:rPr>
          <w:rFonts w:ascii="Open Sans" w:hAnsi="Open Sans"/>
          <w:b/>
          <w:bCs/>
        </w:rPr>
        <w:t>Les objectifs de la loi sur l’électricité ne seront pas atteints</w:t>
      </w:r>
      <w:r>
        <w:rPr>
          <w:rFonts w:ascii="Open Sans" w:hAnsi="Open Sans"/>
        </w:rPr>
        <w:t xml:space="preserve"> La loi sur l’électricité exige une capacité PV active de 35 GWp d’ici 2035. Pour y parvenir, un développement linéaire annuel d’environ 2.8 GWp est nécessaire dès maintenant et jusqu’en 2035. Or, seuls 1.3 GWp ont été installés en 2025, après 1.8 GWp en 2024. Cette évolution contredit la trajectoire de développement décidée par le peuple et montre que le système d’encouragement actuel n’est structurellement pas en mesure d’atteindre les objectifs légaux.</w:t>
      </w:r>
    </w:p>
    <w:p>
      <w:pPr>
        <w:pStyle w:val="BodyText"/>
        <w:rPr>
          <w:rFonts w:ascii="Open Sans" w:hAnsi="Open Sans"/>
        </w:rPr>
      </w:pPr>
      <w:r>
        <w:rPr>
          <w:rFonts w:ascii="Open Sans" w:hAnsi="Open Sans"/>
          <w:b/>
          <w:bCs/>
        </w:rPr>
        <w:t>Des rétributions uniques plus élevées comme mesure à court terme</w:t>
      </w:r>
      <w:r>
        <w:rPr>
          <w:rFonts w:ascii="Open Sans" w:hAnsi="Open Sans"/>
        </w:rPr>
        <w:t xml:space="preserve"> VESE propose donc des rétributions uniques plus élevées pour toutes les catégories de puissance, ainsi qu’un relèvement de la rétribution unique élevée (RUE) pour les installations sans consommation propre à 550 CHF/kWp. Ces corrections peuvent avoir un effet à court terme, mais elles ne résolvent pas les causes réelles de la réticence à investir à moyen et long terme. Parallèlement, il est impératif de lever les « </w:t>
      </w:r>
      <w:hyperlink r:id="rId2">
        <w:r>
          <w:rPr>
            <w:rStyle w:val="Hyperlink"/>
            <w:rFonts w:ascii="Open Sans" w:hAnsi="Open Sans"/>
          </w:rPr>
          <w:t>freins au solaire</w:t>
        </w:r>
      </w:hyperlink>
      <w:r>
        <w:rPr>
          <w:rFonts w:ascii="Open Sans" w:hAnsi="Open Sans"/>
        </w:rPr>
        <w:t xml:space="preserve"> » identifiés par la Société Suisse pour l’Énergie Solaire et de mettre en place des modèles alternatifs offrant aux investisseurs, aux exploitants et aux coopératives solaires une réelle sécurité d’investissement, de planification et juridique. VESE a soumis des propositions en ce sens dans son </w:t>
      </w:r>
      <w:hyperlink r:id="rId3">
        <w:r>
          <w:rPr>
            <w:rStyle w:val="Hyperlink"/>
            <w:rFonts w:ascii="Open Sans" w:hAnsi="Open Sans"/>
          </w:rPr>
          <w:t>étude succincte « Développement photovoltaïque 2.0 »</w:t>
        </w:r>
      </w:hyperlink>
      <w:r>
        <w:rPr>
          <w:rFonts w:ascii="Open Sans" w:hAnsi="Open Sans"/>
        </w:rPr>
        <w:t>.</w:t>
      </w:r>
    </w:p>
    <w:p>
      <w:pPr>
        <w:pStyle w:val="BodyText"/>
        <w:bidi w:val="0"/>
        <w:rPr>
          <w:rFonts w:ascii="Open Sans" w:hAnsi="Open Sans"/>
        </w:rPr>
      </w:pPr>
      <w:r>
        <w:rPr>
          <w:rFonts w:ascii="Open Sans" w:hAnsi="Open Sans"/>
        </w:rPr>
        <w:t>« Nous n’atteindrons pas les objectifs de la loi sur l’électricité avec de simples adaptations ponctuelles de l’encouragement », déclare Lucia Grüter, membre du comité de VESE. « Il faut maintenant une volonté politique pour transformer le système d’encouragement de manière à ce que les investissements dans le photovoltaïque soient à nouveau calculables de manière fiable »</w:t>
      </w:r>
    </w:p>
    <w:p>
      <w:pPr>
        <w:pStyle w:val="BodyText"/>
        <w:bidi w:val="0"/>
        <w:rPr>
          <w:rFonts w:ascii="Open Sans" w:hAnsi="Open Sans"/>
        </w:rPr>
      </w:pPr>
      <w:r>
        <w:rPr>
          <w:rFonts w:ascii="Open Sans" w:hAnsi="Open Sans"/>
          <w:shd w:fill="auto" w:val="clear"/>
        </w:rPr>
        <w:t xml:space="preserve">La consultation sur la révision de l’ordonnance sur l’encouragement de la production d’électricité issue d’énergies renouvelables court jusqu'au 15 juillet 2026. </w:t>
      </w:r>
      <w:hyperlink r:id="rId4">
        <w:r>
          <w:rPr>
            <w:rStyle w:val="Hyperlink"/>
            <w:rFonts w:ascii="Open Sans" w:hAnsi="Open Sans"/>
            <w:b w:val="false"/>
            <w:bCs w:val="false"/>
            <w:shd w:fill="auto" w:val="clear"/>
          </w:rPr>
          <w:t>Télécharger la prise de position complète de VESE &gt;&gt;</w:t>
        </w:r>
      </w:hyperlink>
    </w:p>
    <w:p>
      <w:pPr>
        <w:pStyle w:val="Heading2"/>
        <w:rPr>
          <w:rFonts w:ascii="Open Sans" w:hAnsi="Open Sans"/>
        </w:rPr>
      </w:pPr>
      <w:r>
        <w:rPr>
          <w:rFonts w:ascii="Open Sans" w:hAnsi="Open Sans"/>
        </w:rPr>
        <w:t>Contact</w:t>
      </w:r>
    </w:p>
    <w:p>
      <w:pPr>
        <w:pStyle w:val="Normal"/>
        <w:widowControl w:val="false"/>
        <w:suppressAutoHyphens w:val="true"/>
        <w:bidi w:val="0"/>
        <w:spacing w:lineRule="auto" w:line="276" w:before="0" w:after="200"/>
        <w:jc w:val="left"/>
        <w:rPr/>
      </w:pPr>
      <w:r>
        <w:rPr>
          <w:rFonts w:ascii="Open Sans" w:hAnsi="Open Sans"/>
        </w:rPr>
        <w:t>Walter Sachs, président VESE</w:t>
        <w:br/>
        <w:t xml:space="preserve">Tél. </w:t>
      </w:r>
      <w:hyperlink r:id="rId5">
        <w:r>
          <w:rPr>
            <w:rStyle w:val="Hyperlink"/>
            <w:rFonts w:ascii="Open Sans" w:hAnsi="Open Sans"/>
          </w:rPr>
          <w:t>076 528 09 36</w:t>
        </w:r>
      </w:hyperlink>
      <w:r>
        <w:rPr>
          <w:rFonts w:ascii="Open Sans" w:hAnsi="Open Sans"/>
        </w:rPr>
        <w:br/>
      </w:r>
      <w:hyperlink r:id="rId6">
        <w:r>
          <w:rPr>
            <w:rStyle w:val="Hyperlink"/>
            <w:rFonts w:ascii="Open Sans" w:hAnsi="Open Sans"/>
          </w:rPr>
          <w:t>walter.sachs@vese.ch</w:t>
        </w:r>
      </w:hyperlink>
    </w:p>
    <w:p>
      <w:pPr>
        <w:pStyle w:val="Normal"/>
        <w:widowControl w:val="false"/>
        <w:suppressAutoHyphens w:val="true"/>
        <w:bidi w:val="0"/>
        <w:spacing w:lineRule="auto" w:line="276" w:before="0" w:after="200"/>
        <w:jc w:val="left"/>
        <w:rPr>
          <w:rStyle w:val="Hyperlink"/>
          <w:rFonts w:ascii="Open Sans" w:hAnsi="Open Sans"/>
        </w:rPr>
      </w:pPr>
      <w:r>
        <w:rPr/>
      </w:r>
    </w:p>
    <w:p>
      <w:pPr>
        <w:pStyle w:val="Heading2"/>
        <w:widowControl w:val="false"/>
        <w:suppressAutoHyphens w:val="true"/>
        <w:bidi w:val="0"/>
        <w:spacing w:lineRule="auto" w:line="276"/>
        <w:jc w:val="left"/>
        <w:rPr/>
      </w:pPr>
      <w:r>
        <w:rPr>
          <w:rStyle w:val="Hyperlink"/>
          <w:rFonts w:eastAsia="Calibri" w:cs="Calibri" w:ascii="Open Sans" w:hAnsi="Open Sans"/>
          <w:color w:val="auto"/>
          <w:kern w:val="0"/>
          <w:u w:val="none"/>
          <w:lang w:val="de-CH" w:eastAsia="fr-CH" w:bidi="ar-SA"/>
        </w:rPr>
        <w:t>À propos de l’Association des producteurs d’énergie indépendants (VESE)</w:t>
      </w:r>
    </w:p>
    <w:p>
      <w:pPr>
        <w:pStyle w:val="Normal"/>
        <w:suppressAutoHyphens w:val="true"/>
        <w:spacing w:before="0" w:after="200"/>
        <w:rPr/>
      </w:pPr>
      <w:r>
        <w:rPr>
          <w:rStyle w:val="Hyperlink"/>
          <w:rFonts w:ascii="Open Sans" w:hAnsi="Open Sans"/>
          <w:color w:val="auto"/>
          <w:u w:val="none"/>
        </w:rPr>
        <w:t>VESE, un groupe professionnel de la Société Suisse pour l’Énergie Solaire (SSES), est l’association des producteurs d’énergie indépendants. Elle représente les intérêts des exploitants d’installations de production d’électricité renouvelable ne disposant pas de leur propre réseau de distribution. VESE s’engage pour une transition énergétique avec un maximum d’installations aux mains des citoyens.</w:t>
      </w:r>
    </w:p>
    <w:sectPr>
      <w:headerReference w:type="default" r:id="rId7"/>
      <w:footerReference w:type="default" r:id="rId8"/>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 San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Georgia">
    <w:charset w:val="01"/>
    <w:family w:val="roman"/>
    <w:pitch w:val="default"/>
  </w:font>
  <w:font w:name="Liberation Mono">
    <w:altName w:val="Courier New"/>
    <w:charset w:val="01"/>
    <w:family w:val="swiss"/>
    <w:pitch w:val="default"/>
  </w:font>
  <w:font w:name="Open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0"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distT="0" distB="0" distL="0" distR="0" simplePos="0" relativeHeight="4" behindDoc="1" locked="0" layoutInCell="0" allowOverlap="1">
              <wp:simplePos x="0" y="0"/>
              <wp:positionH relativeFrom="page">
                <wp:posOffset>868680</wp:posOffset>
              </wp:positionH>
              <wp:positionV relativeFrom="page">
                <wp:posOffset>322580</wp:posOffset>
              </wp:positionV>
              <wp:extent cx="4488180" cy="579120"/>
              <wp:effectExtent l="0" t="0" r="0" b="0"/>
              <wp:wrapNone/>
              <wp:docPr id="1"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rFonts w:ascii="Open Sans" w:hAnsi="Open Sans" w:eastAsia="Arial" w:cs="Arial"/>
                              <w:b/>
                              <w:color w:val="014669"/>
                              <w:sz w:val="20"/>
                            </w:rPr>
                          </w:pPr>
                          <w:r>
                            <w:rPr>
                              <w:rFonts w:eastAsia="Arial" w:cs="Arial" w:ascii="Open Sans" w:hAnsi="Open Sans"/>
                              <w:b/>
                              <w:color w:val="014669"/>
                              <w:sz w:val="20"/>
                            </w:rPr>
                            <w:t>VESE - Association des producteurs d'énergie indépendants,</w:t>
                            <w:br/>
                            <w:t>un groupe professionnel de la SSES</w:t>
                          </w:r>
                        </w:p>
                        <w:p>
                          <w:pPr>
                            <w:pStyle w:val="Rahmeninhaltuser"/>
                            <w:bidi w:val="0"/>
                            <w:spacing w:lineRule="auto" w:line="240" w:before="0" w:after="0"/>
                            <w:rPr/>
                          </w:pPr>
                          <w:r>
                            <w:rPr>
                              <w:rFonts w:ascii="Open Sans" w:hAnsi="Open Sans"/>
                              <w:color w:val="1F497D"/>
                              <w:sz w:val="18"/>
                            </w:rPr>
                            <w:t>Aarbergergasse 21, 3011 Berne,</w:t>
                          </w:r>
                          <w:r>
                            <w:rPr>
                              <w:rFonts w:ascii="Open Sans" w:hAnsi="Open Sans"/>
                              <w:color w:val="1F497D"/>
                              <w:sz w:val="18"/>
                            </w:rPr>
                            <w:t xml:space="preserve"> </w:t>
                          </w:r>
                          <w:hyperlink r:id="rId1">
                            <w:r>
                              <w:rPr>
                                <w:rStyle w:val="Hyperlink"/>
                                <w:rFonts w:ascii="Open Sans" w:hAnsi="Open Sans"/>
                                <w:color w:val="1F497D"/>
                                <w:sz w:val="18"/>
                                <w:szCs w:val="18"/>
                              </w:rPr>
                              <w:t>www.vese.ch</w:t>
                            </w:r>
                          </w:hyperlink>
                          <w:r>
                            <w:rPr>
                              <w:rFonts w:ascii="Open Sans" w:hAnsi="Open Sans"/>
                              <w:color w:val="1F497D"/>
                              <w:sz w:val="18"/>
                            </w:rPr>
                            <w:t xml:space="preserve">,Tél. </w:t>
                          </w:r>
                          <w:r>
                            <w:rPr>
                              <w:rFonts w:ascii="Open Sans" w:hAnsi="Open Sans"/>
                              <w:color w:val="1F497D"/>
                              <w:sz w:val="18"/>
                            </w:rPr>
                            <w:t>031 371</w:t>
                          </w:r>
                          <w:r>
                            <w:rPr>
                              <w:rFonts w:ascii="Open Sans" w:hAnsi="Open Sans"/>
                              <w:color w:val="1F497D"/>
                              <w:sz w:val="18"/>
                            </w:rPr>
                            <w:t xml:space="preserve"> 80 00, </w:t>
                          </w:r>
                          <w:hyperlink r:id="rId2">
                            <w:r>
                              <w:rPr>
                                <w:rStyle w:val="Hyperlink"/>
                                <w:rFonts w:ascii="Open Sans" w:hAnsi="Open Sans"/>
                                <w:color w:val="1F497D"/>
                                <w:sz w:val="18"/>
                              </w:rPr>
                              <w:t>info@vese.ch</w:t>
                            </w:r>
                          </w:hyperlink>
                        </w:p>
                        <w:p>
                          <w:pPr>
                            <w:pStyle w:val="Rahmeninhaltuser"/>
                            <w:spacing w:lineRule="auto" w:line="240" w:before="0" w:after="0"/>
                            <w:ind w:firstLine="80" w:left="20" w:right="-20"/>
                            <w:rPr/>
                          </w:pPr>
                          <w:r>
                            <w:rPr/>
                          </w:r>
                        </w:p>
                      </w:txbxContent>
                    </wps:txbx>
                    <wps:bodyPr lIns="0" tIns="0" r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v:fill o:detectmouseclick="t" type="solid" color2="black"/>
              <v:stroke color="#3465a4" joinstyle="round" endcap="flat"/>
              <v:textbox>
                <w:txbxContent>
                  <w:p>
                    <w:pPr>
                      <w:pStyle w:val="Rahmeninhaltuser"/>
                      <w:spacing w:lineRule="auto" w:line="223" w:before="0" w:after="0"/>
                      <w:ind w:left="20" w:right="-50"/>
                      <w:rPr>
                        <w:rFonts w:ascii="Open Sans" w:hAnsi="Open Sans" w:eastAsia="Arial" w:cs="Arial"/>
                        <w:b/>
                        <w:color w:val="014669"/>
                        <w:sz w:val="20"/>
                      </w:rPr>
                    </w:pPr>
                    <w:r>
                      <w:rPr>
                        <w:rFonts w:eastAsia="Arial" w:cs="Arial" w:ascii="Open Sans" w:hAnsi="Open Sans"/>
                        <w:b/>
                        <w:color w:val="014669"/>
                        <w:sz w:val="20"/>
                      </w:rPr>
                      <w:t>VESE - Association des producteurs d'énergie indépendants,</w:t>
                      <w:br/>
                      <w:t>un groupe professionnel de la SSES</w:t>
                    </w:r>
                  </w:p>
                  <w:p>
                    <w:pPr>
                      <w:pStyle w:val="Rahmeninhaltuser"/>
                      <w:bidi w:val="0"/>
                      <w:spacing w:lineRule="auto" w:line="240" w:before="0" w:after="0"/>
                      <w:rPr/>
                    </w:pPr>
                    <w:r>
                      <w:rPr>
                        <w:rFonts w:ascii="Open Sans" w:hAnsi="Open Sans"/>
                        <w:color w:val="1F497D"/>
                        <w:sz w:val="18"/>
                      </w:rPr>
                      <w:t>Aarbergergasse 21, 3011 Berne,</w:t>
                    </w:r>
                    <w:r>
                      <w:rPr>
                        <w:rFonts w:ascii="Open Sans" w:hAnsi="Open Sans"/>
                        <w:color w:val="1F497D"/>
                        <w:sz w:val="18"/>
                      </w:rPr>
                      <w:t xml:space="preserve"> </w:t>
                    </w:r>
                    <w:hyperlink r:id="rId3">
                      <w:r>
                        <w:rPr>
                          <w:rStyle w:val="Hyperlink"/>
                          <w:rFonts w:ascii="Open Sans" w:hAnsi="Open Sans"/>
                          <w:color w:val="1F497D"/>
                          <w:sz w:val="18"/>
                          <w:szCs w:val="18"/>
                        </w:rPr>
                        <w:t>www.vese.ch</w:t>
                      </w:r>
                    </w:hyperlink>
                    <w:r>
                      <w:rPr>
                        <w:rFonts w:ascii="Open Sans" w:hAnsi="Open Sans"/>
                        <w:color w:val="1F497D"/>
                        <w:sz w:val="18"/>
                      </w:rPr>
                      <w:t xml:space="preserve">,Tél. </w:t>
                    </w:r>
                    <w:r>
                      <w:rPr>
                        <w:rFonts w:ascii="Open Sans" w:hAnsi="Open Sans"/>
                        <w:color w:val="1F497D"/>
                        <w:sz w:val="18"/>
                      </w:rPr>
                      <w:t>031 371</w:t>
                    </w:r>
                    <w:r>
                      <w:rPr>
                        <w:rFonts w:ascii="Open Sans" w:hAnsi="Open Sans"/>
                        <w:color w:val="1F497D"/>
                        <w:sz w:val="18"/>
                      </w:rPr>
                      <w:t xml:space="preserve"> 80 00, </w:t>
                    </w:r>
                    <w:hyperlink r:id="rId4">
                      <w:r>
                        <w:rPr>
                          <w:rStyle w:val="Hyperlink"/>
                          <w:rFonts w:ascii="Open Sans" w:hAnsi="Open Sans"/>
                          <w:color w:val="1F497D"/>
                          <w:sz w:val="18"/>
                        </w:rPr>
                        <w:t>info@vese.ch</w:t>
                      </w:r>
                    </w:hyperlink>
                  </w:p>
                  <w:p>
                    <w:pPr>
                      <w:pStyle w:val="Rahmeninhaltuser"/>
                      <w:spacing w:lineRule="auto" w:line="240" w:before="0" w:after="0"/>
                      <w:ind w:firstLine="80" w:left="20" w:right="-20"/>
                      <w:rPr/>
                    </w:pPr>
                    <w:r>
                      <w:rPr/>
                    </w:r>
                  </w:p>
                </w:txbxContent>
              </v:textbox>
              <w10:wrap type="none"/>
            </v:rect>
          </w:pict>
        </mc:Fallback>
      </mc:AlternateContent>
      <w:drawing>
        <wp:anchor distT="0" distB="0" distL="0" distR="0" simplePos="0" relativeHeight="7" behindDoc="1" locked="0" layoutInCell="0" allowOverlap="1">
          <wp:simplePos x="0" y="0"/>
          <wp:positionH relativeFrom="page">
            <wp:posOffset>5605145</wp:posOffset>
          </wp:positionH>
          <wp:positionV relativeFrom="page">
            <wp:posOffset>402590</wp:posOffset>
          </wp:positionV>
          <wp:extent cx="1257300" cy="41148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5"/>
                  <a:stretch>
                    <a:fillRect/>
                  </a:stretch>
                </pic:blipFill>
                <pic:spPr bwMode="auto">
                  <a:xfrm>
                    <a:off x="0" y="0"/>
                    <a:ext cx="1257300" cy="411480"/>
                  </a:xfrm>
                  <a:prstGeom prst="rect">
                    <a:avLst/>
                  </a:prstGeom>
                  <a:noFill/>
                </pic:spPr>
              </pic:pic>
            </a:graphicData>
          </a:graphic>
        </wp:anchor>
      </w:drawing>
    </w:r>
  </w:p>
</w:hdr>
</file>

<file path=word/settings.xml><?xml version="1.0" encoding="utf-8"?>
<w:settings xmlns:w="http://schemas.openxmlformats.org/wordprocessingml/2006/main">
  <w:zoom w:percent="164"/>
  <w:defaultTabStop w:val="720"/>
  <w:autoHyphenation w:val="true"/>
  <w:hyphenationZone w:val="0"/>
  <w:compat>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0" w:after="140"/>
      <w:outlineLvl w:val="1"/>
    </w:pPr>
    <w:rPr>
      <w:rFonts w:ascii="Open Sans" w:hAnsi="Open Sans"/>
      <w:b/>
      <w:sz w:val="22"/>
      <w:szCs w:val="22"/>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sz w:val="24"/>
      <w:szCs w:val="24"/>
    </w:rPr>
  </w:style>
  <w:style w:type="paragraph" w:styleId="Heading5">
    <w:name w:val="heading 5"/>
    <w:basedOn w:val="Normal"/>
    <w:next w:val="Normal"/>
    <w:qFormat/>
    <w:pPr>
      <w:keepNext w:val="true"/>
      <w:keepLines/>
      <w:numPr>
        <w:ilvl w:val="0"/>
        <w:numId w:val="0"/>
      </w:numPr>
      <w:spacing w:before="220" w:after="40"/>
      <w:outlineLvl w:val="4"/>
    </w:pPr>
    <w:rPr>
      <w:b/>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LineNumber">
    <w:name w:val="line number"/>
    <w:rPr/>
  </w:style>
  <w:style w:type="character" w:styleId="Hyperlink">
    <w:name w:val="Hyperlink"/>
    <w:rPr>
      <w:color w:val="000080"/>
      <w:u w:val="single"/>
    </w:rPr>
  </w:style>
  <w:style w:type="character" w:styleId="Strong">
    <w:name w:val="Strong"/>
    <w:qFormat/>
    <w:rPr>
      <w:b/>
      <w:bCs/>
    </w:rPr>
  </w:style>
  <w:style w:type="character" w:styleId="Aufzhlungszeichenuser">
    <w:name w:val="Aufzählungszeichen (user)"/>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name w:val="Verzeichnis"/>
    <w:basedOn w:val="Normal"/>
    <w:qFormat/>
    <w:pPr>
      <w:suppressLineNumbers/>
    </w:pPr>
    <w:rPr>
      <w:rFonts w:ascii="Liberation Sans" w:hAnsi="Liberation Sans" w:cs="Noto Sans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name w:val="Verzeichnis (user)"/>
    <w:basedOn w:val="Normal"/>
    <w:qFormat/>
    <w:pPr>
      <w:suppressLineNumbers/>
    </w:pPr>
    <w:rPr>
      <w:rFonts w:ascii="Liberation Sans" w:hAnsi="Liberation Sans" w:cs="Noto Sans Devanagari"/>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En-tteCar"/>
    <w:pPr>
      <w:tabs>
        <w:tab w:val="clear" w:pos="720"/>
        <w:tab w:val="center" w:pos="4513" w:leader="none"/>
        <w:tab w:val="right" w:pos="9026" w:leader="none"/>
      </w:tabs>
      <w:spacing w:lineRule="auto" w:line="240" w:before="0" w:after="0"/>
    </w:pPr>
    <w:rPr/>
  </w:style>
  <w:style w:type="paragraph" w:styleId="Footer">
    <w:name w:val="footer"/>
    <w:basedOn w:val="Normal"/>
    <w:link w:val="PieddepageCar"/>
    <w:pPr>
      <w:tabs>
        <w:tab w:val="clear" w:pos="720"/>
        <w:tab w:val="center" w:pos="4513" w:leader="none"/>
        <w:tab w:val="right" w:pos="9026" w:leader="none"/>
      </w:tabs>
      <w:spacing w:lineRule="auto" w:line="240" w:before="0" w:after="0"/>
    </w:pPr>
    <w:rPr/>
  </w:style>
  <w:style w:type="paragraph" w:styleId="Rahmeninhaltuser">
    <w:name w:val="Rahmeninhalt (user)"/>
    <w:basedOn w:val="Normal"/>
    <w:qFormat/>
    <w:pPr/>
    <w:rPr/>
  </w:style>
  <w:style w:type="paragraph" w:styleId="Kommentaruser">
    <w:name w:val="Kommentar (user)"/>
    <w:basedOn w:val="Normal"/>
    <w:qFormat/>
    <w:pPr>
      <w:spacing w:lineRule="auto" w:line="240" w:before="56" w:after="0"/>
      <w:ind w:hanging="0" w:left="57" w:right="57"/>
    </w:pPr>
    <w:rPr>
      <w:color w:val="auto"/>
      <w:sz w:val="20"/>
      <w:szCs w:val="20"/>
    </w:rPr>
  </w:style>
  <w:style w:type="paragraph" w:styleId="Rahmeninhalt">
    <w:name w:val="Rahmeninhalt"/>
    <w:basedOn w:val="Normal"/>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numbering" w:styleId="KeineListeuser">
    <w:name w:val="Keine Liste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ses.ch/fr/mise-en-oeuvre-de-la-loi-sur-lelectricite-les-freins-solaires-empechent-datteindre-les-objectifs/" TargetMode="External"/><Relationship Id="rId3" Type="http://schemas.openxmlformats.org/officeDocument/2006/relationships/hyperlink" Target="https://www.vese.ch/fr/developpement-photovoltaique-2-0/" TargetMode="External"/><Relationship Id="rId4" Type="http://schemas.openxmlformats.org/officeDocument/2006/relationships/hyperlink" Target="https://www.vese.ch/wp-content/uploads/VESE_Reponse_a_la_consultation_Ordonnance_sur_l_encouragement_de_la_production_d_electricite_issue_d_energies_renouvelables_avril_2026.pdf" TargetMode="External"/><Relationship Id="rId5" Type="http://schemas.openxmlformats.org/officeDocument/2006/relationships/hyperlink" Target="tel:+41765280936" TargetMode="External"/><Relationship Id="rId6" Type="http://schemas.openxmlformats.org/officeDocument/2006/relationships/hyperlink" Target="mailto:walter.sachs@vese.c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vese.ch/" TargetMode="External"/><Relationship Id="rId2" Type="http://schemas.openxmlformats.org/officeDocument/2006/relationships/hyperlink" Target="mailto:info@vese.ch" TargetMode="External"/><Relationship Id="rId3" Type="http://schemas.openxmlformats.org/officeDocument/2006/relationships/hyperlink" Target="https://vese.ch/" TargetMode="External"/><Relationship Id="rId4" Type="http://schemas.openxmlformats.org/officeDocument/2006/relationships/hyperlink" Target="mailto:info@vese.ch" TargetMode="External"/><Relationship Id="rId5"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321</TotalTime>
  <Application>LibreOffice/26.2.4.2$Linux_X86_64 LibreOffice_project/620$Build-2</Application>
  <AppVersion>15.0000</AppVersion>
  <Pages>2</Pages>
  <Words>500</Words>
  <Characters>2940</Characters>
  <CharactersWithSpaces>3436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2025-10-02T06:25:00Z</dcterms:created>
  <dc:creator>diego</dc:creator>
  <dc:description/>
  <dc:language>de-CH</dc:language>
  <cp:lastModifiedBy>Walter Sachs</cp:lastModifiedBy>
  <cp:lastPrinted>2026-07-10T19:18:22Z</cp:lastPrinted>
  <dcterms:modified xsi:type="dcterms:W3CDTF">2026-07-10T19:18:08Z</dcterms:modified>
  <cp:revision>33</cp:revision>
  <dc:subject/>
  <dc:title>VESE communiqué de presse :  Le développement du photovoltaïque manque les objectifs de la loi sur l’électricité : VESE demande un changement de paradigme fondamental dans l'encouragement de l'énergie solaire</dc:title>
</cp:coreProperties>
</file>

<file path=docProps/custom.xml><?xml version="1.0" encoding="utf-8"?>
<Properties xmlns="http://schemas.openxmlformats.org/officeDocument/2006/custom-properties" xmlns:vt="http://schemas.openxmlformats.org/officeDocument/2006/docPropsVTypes"/>
</file>