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6332" w:rsidRPr="0076356C" w:rsidRDefault="00BC2AD6" w:rsidP="00345CF2">
      <w:pPr>
        <w:jc w:val="both"/>
        <w:rPr>
          <w:lang w:val="fr-CH"/>
        </w:rPr>
      </w:pPr>
      <w:r>
        <w:rPr>
          <w:lang w:val="fr-CH"/>
        </w:rPr>
        <w:pict>
          <v:shapetype id="_x0000_t202" coordsize="21600,21600" o:spt="202" path="m,l,21600r21600,l21600,xe">
            <v:stroke joinstyle="miter"/>
            <v:path gradientshapeok="t" o:connecttype="rect"/>
          </v:shapetype>
          <v:shape id="DeepLBoxSPIDType" o:spid="_x0000_s2050" type="#_x0000_t202" alt="" style="position:absolute;left:0;text-align:left;margin-left:0;margin-top:0;width:50pt;height:50pt;z-index:251660288;visibility:hidden;mso-wrap-edited:f">
            <o:lock v:ext="edit" selection="t"/>
          </v:shape>
        </w:pict>
      </w:r>
    </w:p>
    <w:p w:rsidR="00546332" w:rsidRPr="0076356C" w:rsidRDefault="004B4654" w:rsidP="00345CF2">
      <w:pPr>
        <w:spacing w:after="120"/>
        <w:jc w:val="both"/>
        <w:rPr>
          <w:rFonts w:ascii="TradeGothic LT" w:hAnsi="TradeGothic LT"/>
          <w:b/>
          <w:sz w:val="24"/>
          <w:szCs w:val="24"/>
          <w:lang w:val="fr-CH"/>
        </w:rPr>
      </w:pPr>
      <w:r w:rsidRPr="0076356C">
        <w:rPr>
          <w:rFonts w:ascii="TradeGothic LT" w:hAnsi="TradeGothic LT"/>
          <w:b/>
          <w:sz w:val="24"/>
          <w:szCs w:val="24"/>
          <w:lang w:val="fr-CH"/>
        </w:rPr>
        <w:t xml:space="preserve">03 avril 2022 - </w:t>
      </w:r>
      <w:r w:rsidR="00C64115" w:rsidRPr="0076356C">
        <w:rPr>
          <w:rFonts w:ascii="TradeGothic LT" w:hAnsi="TradeGothic LT"/>
          <w:b/>
          <w:sz w:val="24"/>
          <w:szCs w:val="24"/>
          <w:lang w:val="fr-CH"/>
        </w:rPr>
        <w:t>Communiqué de presse</w:t>
      </w:r>
      <w:r w:rsidR="00017B3F" w:rsidRPr="0076356C">
        <w:rPr>
          <w:rFonts w:ascii="TradeGothic LT" w:hAnsi="TradeGothic LT"/>
          <w:b/>
          <w:sz w:val="24"/>
          <w:szCs w:val="24"/>
          <w:lang w:val="fr-CH"/>
        </w:rPr>
        <w:t>:</w:t>
      </w:r>
    </w:p>
    <w:p w:rsidR="00546332" w:rsidRPr="0076356C" w:rsidRDefault="008124BD" w:rsidP="00345CF2">
      <w:pPr>
        <w:jc w:val="both"/>
        <w:rPr>
          <w:sz w:val="32"/>
          <w:szCs w:val="32"/>
          <w:lang w:val="fr-CH"/>
        </w:rPr>
      </w:pPr>
      <w:r w:rsidRPr="0076356C">
        <w:rPr>
          <w:rFonts w:ascii="TradeGothic LT" w:hAnsi="TradeGothic LT"/>
          <w:b/>
          <w:sz w:val="32"/>
          <w:szCs w:val="32"/>
          <w:lang w:val="fr-CH"/>
        </w:rPr>
        <w:t xml:space="preserve">Poursuivre les solutions qui ont fait leurs preuves: </w:t>
      </w:r>
      <w:r w:rsidR="00345CF2" w:rsidRPr="0076356C">
        <w:rPr>
          <w:rFonts w:ascii="TradeGothic LT" w:hAnsi="TradeGothic LT"/>
          <w:b/>
          <w:sz w:val="32"/>
          <w:szCs w:val="32"/>
          <w:lang w:val="fr-CH"/>
        </w:rPr>
        <w:t xml:space="preserve">le </w:t>
      </w:r>
      <w:r w:rsidRPr="0076356C">
        <w:rPr>
          <w:rFonts w:ascii="TradeGothic LT" w:hAnsi="TradeGothic LT"/>
          <w:b/>
          <w:sz w:val="32"/>
          <w:szCs w:val="32"/>
          <w:lang w:val="fr-CH"/>
        </w:rPr>
        <w:t xml:space="preserve">modèle fixe et </w:t>
      </w:r>
      <w:r w:rsidR="00345CF2" w:rsidRPr="0076356C">
        <w:rPr>
          <w:rFonts w:ascii="TradeGothic LT" w:hAnsi="TradeGothic LT"/>
          <w:b/>
          <w:sz w:val="32"/>
          <w:szCs w:val="32"/>
          <w:lang w:val="fr-CH"/>
        </w:rPr>
        <w:t xml:space="preserve">le </w:t>
      </w:r>
      <w:r w:rsidRPr="0076356C">
        <w:rPr>
          <w:rFonts w:ascii="TradeGothic LT" w:hAnsi="TradeGothic LT"/>
          <w:b/>
          <w:sz w:val="32"/>
          <w:szCs w:val="32"/>
          <w:lang w:val="fr-CH"/>
        </w:rPr>
        <w:t xml:space="preserve">modèle </w:t>
      </w:r>
      <w:r w:rsidR="00345CF2" w:rsidRPr="0076356C">
        <w:rPr>
          <w:rFonts w:ascii="TradeGothic LT" w:hAnsi="TradeGothic LT"/>
          <w:b/>
          <w:sz w:val="32"/>
          <w:szCs w:val="32"/>
          <w:lang w:val="fr-CH"/>
        </w:rPr>
        <w:t xml:space="preserve">variable </w:t>
      </w:r>
      <w:r w:rsidRPr="0076356C">
        <w:rPr>
          <w:rFonts w:ascii="TradeGothic LT" w:hAnsi="TradeGothic LT"/>
          <w:b/>
          <w:sz w:val="32"/>
          <w:szCs w:val="32"/>
          <w:lang w:val="fr-CH"/>
        </w:rPr>
        <w:t>pour la rétribution d</w:t>
      </w:r>
      <w:r w:rsidR="00345CF2" w:rsidRPr="0076356C">
        <w:rPr>
          <w:rFonts w:ascii="TradeGothic LT" w:hAnsi="TradeGothic LT"/>
          <w:b/>
          <w:sz w:val="32"/>
          <w:szCs w:val="32"/>
          <w:lang w:val="fr-CH"/>
        </w:rPr>
        <w:t>u courant injecté</w:t>
      </w:r>
    </w:p>
    <w:p w:rsidR="00671FDA" w:rsidRPr="0076356C" w:rsidRDefault="00671FDA" w:rsidP="00345CF2">
      <w:pPr>
        <w:jc w:val="both"/>
        <w:rPr>
          <w:lang w:val="fr-CH"/>
        </w:rPr>
      </w:pPr>
    </w:p>
    <w:p w:rsidR="00546332" w:rsidRPr="0076356C" w:rsidRDefault="00903286" w:rsidP="00345CF2">
      <w:pPr>
        <w:jc w:val="both"/>
        <w:rPr>
          <w:rFonts w:ascii="TradeGothic LT" w:hAnsi="TradeGothic LT"/>
          <w:lang w:val="fr-CH"/>
        </w:rPr>
      </w:pPr>
      <w:r w:rsidRPr="0076356C">
        <w:rPr>
          <w:rFonts w:ascii="TradeGothic LT" w:hAnsi="TradeGothic LT"/>
          <w:i/>
          <w:lang w:val="fr-CH"/>
        </w:rPr>
        <w:t xml:space="preserve">La SSES et son association </w:t>
      </w:r>
      <w:r w:rsidR="00345CF2" w:rsidRPr="0076356C">
        <w:rPr>
          <w:rFonts w:ascii="TradeGothic LT" w:hAnsi="TradeGothic LT"/>
          <w:i/>
          <w:lang w:val="fr-CH"/>
        </w:rPr>
        <w:t>spécifique</w:t>
      </w:r>
      <w:r w:rsidRPr="0076356C">
        <w:rPr>
          <w:rFonts w:ascii="TradeGothic LT" w:hAnsi="TradeGothic LT"/>
          <w:i/>
          <w:lang w:val="fr-CH"/>
        </w:rPr>
        <w:t xml:space="preserve"> VESE continuent de développer leur modèle pour une rétribution stable à long terme de l'électricité </w:t>
      </w:r>
      <w:r w:rsidR="00345CF2" w:rsidRPr="0076356C">
        <w:rPr>
          <w:rFonts w:ascii="TradeGothic LT" w:hAnsi="TradeGothic LT"/>
          <w:i/>
          <w:lang w:val="fr-CH"/>
        </w:rPr>
        <w:t xml:space="preserve">d'origine </w:t>
      </w:r>
      <w:r w:rsidRPr="0076356C">
        <w:rPr>
          <w:rFonts w:ascii="TradeGothic LT" w:hAnsi="TradeGothic LT"/>
          <w:i/>
          <w:lang w:val="fr-CH"/>
        </w:rPr>
        <w:t>solaire</w:t>
      </w:r>
      <w:r w:rsidR="00345CF2" w:rsidRPr="0076356C">
        <w:rPr>
          <w:rFonts w:ascii="TradeGothic LT" w:hAnsi="TradeGothic LT"/>
          <w:i/>
          <w:lang w:val="fr-CH"/>
        </w:rPr>
        <w:t xml:space="preserve"> injectée dans le réseau.</w:t>
      </w:r>
      <w:r w:rsidRPr="0076356C">
        <w:rPr>
          <w:rFonts w:ascii="TradeGothic LT" w:hAnsi="TradeGothic LT"/>
          <w:i/>
          <w:lang w:val="fr-CH"/>
        </w:rPr>
        <w:t xml:space="preserve"> </w:t>
      </w:r>
      <w:r w:rsidR="00345CF2" w:rsidRPr="0076356C">
        <w:rPr>
          <w:rFonts w:ascii="TradeGothic LT" w:hAnsi="TradeGothic LT"/>
          <w:i/>
          <w:lang w:val="fr-CH"/>
        </w:rPr>
        <w:t xml:space="preserve">Il s'agit de </w:t>
      </w:r>
      <w:r w:rsidR="004B4654" w:rsidRPr="0076356C">
        <w:rPr>
          <w:rFonts w:ascii="TradeGothic LT" w:hAnsi="TradeGothic LT"/>
          <w:i/>
          <w:lang w:val="fr-CH"/>
        </w:rPr>
        <w:t>s'inspire</w:t>
      </w:r>
      <w:r w:rsidR="00345CF2" w:rsidRPr="0076356C">
        <w:rPr>
          <w:rFonts w:ascii="TradeGothic LT" w:hAnsi="TradeGothic LT"/>
          <w:i/>
          <w:lang w:val="fr-CH"/>
        </w:rPr>
        <w:t>r</w:t>
      </w:r>
      <w:r w:rsidR="004B4654" w:rsidRPr="0076356C">
        <w:rPr>
          <w:rFonts w:ascii="TradeGothic LT" w:hAnsi="TradeGothic LT"/>
          <w:i/>
          <w:lang w:val="fr-CH"/>
        </w:rPr>
        <w:t xml:space="preserve"> du modèle hypothécaire qui a fait ses preuves </w:t>
      </w:r>
      <w:r w:rsidR="00345CF2" w:rsidRPr="0076356C">
        <w:rPr>
          <w:rFonts w:ascii="TradeGothic LT" w:hAnsi="TradeGothic LT"/>
          <w:i/>
          <w:lang w:val="fr-CH"/>
        </w:rPr>
        <w:t xml:space="preserve">dans le système </w:t>
      </w:r>
      <w:r w:rsidR="004B4654" w:rsidRPr="0076356C">
        <w:rPr>
          <w:rFonts w:ascii="TradeGothic LT" w:hAnsi="TradeGothic LT"/>
          <w:i/>
          <w:lang w:val="fr-CH"/>
        </w:rPr>
        <w:t>bancaire suisse</w:t>
      </w:r>
      <w:r w:rsidR="00345CF2" w:rsidRPr="0076356C">
        <w:rPr>
          <w:rFonts w:ascii="TradeGothic LT" w:hAnsi="TradeGothic LT"/>
          <w:i/>
          <w:lang w:val="fr-CH"/>
        </w:rPr>
        <w:t xml:space="preserve"> et d'offrir un choix identique aux producteurs d'électricité photovoltaïque.</w:t>
      </w:r>
      <w:r w:rsidR="004B4654" w:rsidRPr="0076356C">
        <w:rPr>
          <w:rFonts w:ascii="TradeGothic LT" w:hAnsi="TradeGothic LT"/>
          <w:i/>
          <w:lang w:val="fr-CH"/>
        </w:rPr>
        <w:t xml:space="preserve"> </w:t>
      </w:r>
    </w:p>
    <w:p w:rsidR="00671FDA" w:rsidRPr="0076356C" w:rsidRDefault="00671FDA" w:rsidP="00345CF2">
      <w:pPr>
        <w:jc w:val="both"/>
        <w:rPr>
          <w:rFonts w:ascii="TradeGothic LT" w:hAnsi="TradeGothic LT"/>
          <w:lang w:val="fr-CH"/>
        </w:rPr>
      </w:pPr>
    </w:p>
    <w:p w:rsidR="00546332" w:rsidRPr="0076356C" w:rsidRDefault="00345CF2" w:rsidP="00345CF2">
      <w:pPr>
        <w:jc w:val="both"/>
        <w:rPr>
          <w:lang w:val="fr-CH"/>
        </w:rPr>
      </w:pPr>
      <w:r w:rsidRPr="0076356C">
        <w:rPr>
          <w:rFonts w:ascii="TradeGothic LT" w:hAnsi="TradeGothic LT"/>
          <w:lang w:val="fr-CH"/>
        </w:rPr>
        <w:t>D</w:t>
      </w:r>
      <w:r w:rsidR="004B4654" w:rsidRPr="0076356C">
        <w:rPr>
          <w:rFonts w:ascii="TradeGothic LT" w:hAnsi="TradeGothic LT"/>
          <w:lang w:val="fr-CH"/>
        </w:rPr>
        <w:t xml:space="preserve">epuis des décennies sur le marché hypothécaire suisse </w:t>
      </w:r>
      <w:r w:rsidRPr="0076356C">
        <w:rPr>
          <w:rFonts w:ascii="TradeGothic LT" w:hAnsi="TradeGothic LT"/>
          <w:lang w:val="fr-CH"/>
        </w:rPr>
        <w:t xml:space="preserve">offre la possibilité d'obtenir des </w:t>
      </w:r>
      <w:r w:rsidR="004B4654" w:rsidRPr="0076356C">
        <w:rPr>
          <w:rFonts w:ascii="TradeGothic LT" w:hAnsi="TradeGothic LT"/>
          <w:lang w:val="fr-CH"/>
        </w:rPr>
        <w:t xml:space="preserve">hypothèques </w:t>
      </w:r>
      <w:r w:rsidRPr="0076356C">
        <w:rPr>
          <w:rFonts w:ascii="TradeGothic LT" w:hAnsi="TradeGothic LT"/>
          <w:lang w:val="fr-CH"/>
        </w:rPr>
        <w:t xml:space="preserve">à taux </w:t>
      </w:r>
      <w:r w:rsidR="004B4654" w:rsidRPr="0076356C">
        <w:rPr>
          <w:rFonts w:ascii="TradeGothic LT" w:hAnsi="TradeGothic LT"/>
          <w:lang w:val="fr-CH"/>
        </w:rPr>
        <w:t xml:space="preserve">fixes </w:t>
      </w:r>
      <w:r w:rsidRPr="0076356C">
        <w:rPr>
          <w:rFonts w:ascii="TradeGothic LT" w:hAnsi="TradeGothic LT"/>
          <w:lang w:val="fr-CH"/>
        </w:rPr>
        <w:t>ou</w:t>
      </w:r>
      <w:r w:rsidR="004B4654" w:rsidRPr="0076356C">
        <w:rPr>
          <w:rFonts w:ascii="TradeGothic LT" w:hAnsi="TradeGothic LT"/>
          <w:lang w:val="fr-CH"/>
        </w:rPr>
        <w:t xml:space="preserve"> variables</w:t>
      </w:r>
      <w:r w:rsidRPr="0076356C">
        <w:rPr>
          <w:rFonts w:ascii="TradeGothic LT" w:hAnsi="TradeGothic LT"/>
          <w:lang w:val="fr-CH"/>
        </w:rPr>
        <w:t xml:space="preserve">. Le principe </w:t>
      </w:r>
      <w:r w:rsidR="004B4654" w:rsidRPr="0076356C">
        <w:rPr>
          <w:rFonts w:ascii="TradeGothic LT" w:hAnsi="TradeGothic LT"/>
          <w:lang w:val="fr-CH"/>
        </w:rPr>
        <w:t>doit désormais être appliqué</w:t>
      </w:r>
      <w:r w:rsidR="00903286" w:rsidRPr="0076356C">
        <w:rPr>
          <w:rFonts w:ascii="TradeGothic LT" w:hAnsi="TradeGothic LT"/>
          <w:lang w:val="fr-CH"/>
        </w:rPr>
        <w:t xml:space="preserve"> à</w:t>
      </w:r>
      <w:r w:rsidR="004B4654" w:rsidRPr="0076356C">
        <w:rPr>
          <w:rFonts w:ascii="TradeGothic LT" w:hAnsi="TradeGothic LT"/>
          <w:lang w:val="fr-CH"/>
        </w:rPr>
        <w:t xml:space="preserve"> </w:t>
      </w:r>
      <w:r w:rsidR="00903286" w:rsidRPr="0076356C">
        <w:rPr>
          <w:rFonts w:ascii="TradeGothic LT" w:hAnsi="TradeGothic LT"/>
          <w:lang w:val="fr-CH"/>
        </w:rPr>
        <w:t xml:space="preserve">la rétribution </w:t>
      </w:r>
      <w:r w:rsidRPr="0076356C">
        <w:rPr>
          <w:rFonts w:ascii="TradeGothic LT" w:hAnsi="TradeGothic LT"/>
          <w:lang w:val="fr-CH"/>
        </w:rPr>
        <w:t>du courant repris par les entreprises distributrices d'électricité</w:t>
      </w:r>
      <w:r w:rsidR="004B4654" w:rsidRPr="0076356C">
        <w:rPr>
          <w:rFonts w:ascii="TradeGothic LT" w:hAnsi="TradeGothic LT"/>
          <w:lang w:val="fr-CH"/>
        </w:rPr>
        <w:t>. C'est du moins ce que demandent la SSES et VESE. Les exploitants auraient le choix entre deux possibilités pour les nouvelles installations photovoltaïques:</w:t>
      </w:r>
    </w:p>
    <w:p w:rsidR="00671FDA" w:rsidRPr="0076356C" w:rsidRDefault="00671FDA" w:rsidP="00345CF2">
      <w:pPr>
        <w:jc w:val="both"/>
        <w:rPr>
          <w:lang w:val="fr-CH"/>
        </w:rPr>
      </w:pPr>
    </w:p>
    <w:p w:rsidR="00546332" w:rsidRPr="0076356C" w:rsidRDefault="00FA716B" w:rsidP="00345CF2">
      <w:pPr>
        <w:numPr>
          <w:ilvl w:val="0"/>
          <w:numId w:val="1"/>
        </w:numPr>
        <w:jc w:val="both"/>
        <w:rPr>
          <w:rFonts w:ascii="TradeGothic LT" w:hAnsi="TradeGothic LT"/>
          <w:b/>
          <w:bCs/>
          <w:lang w:val="fr-CH"/>
        </w:rPr>
      </w:pPr>
      <w:r w:rsidRPr="0076356C">
        <w:rPr>
          <w:rFonts w:ascii="TradeGothic LT" w:hAnsi="TradeGothic LT"/>
          <w:b/>
          <w:bCs/>
          <w:lang w:val="fr-CH"/>
        </w:rPr>
        <w:t>Le m</w:t>
      </w:r>
      <w:r w:rsidR="004B4654" w:rsidRPr="0076356C">
        <w:rPr>
          <w:rFonts w:ascii="TradeGothic LT" w:hAnsi="TradeGothic LT"/>
          <w:b/>
          <w:bCs/>
          <w:lang w:val="fr-CH"/>
        </w:rPr>
        <w:t xml:space="preserve">odèle fixe: </w:t>
      </w:r>
      <w:r w:rsidR="004B4654" w:rsidRPr="0076356C">
        <w:rPr>
          <w:rFonts w:ascii="TradeGothic LT" w:hAnsi="TradeGothic LT"/>
          <w:lang w:val="fr-CH"/>
        </w:rPr>
        <w:t xml:space="preserve">comme pour une hypothèque </w:t>
      </w:r>
      <w:r w:rsidRPr="0076356C">
        <w:rPr>
          <w:rFonts w:ascii="TradeGothic LT" w:hAnsi="TradeGothic LT"/>
          <w:lang w:val="fr-CH"/>
        </w:rPr>
        <w:t xml:space="preserve">à taux </w:t>
      </w:r>
      <w:r w:rsidR="004B4654" w:rsidRPr="0076356C">
        <w:rPr>
          <w:rFonts w:ascii="TradeGothic LT" w:hAnsi="TradeGothic LT"/>
          <w:lang w:val="fr-CH"/>
        </w:rPr>
        <w:t xml:space="preserve">fixe, la </w:t>
      </w:r>
      <w:r w:rsidR="00903286" w:rsidRPr="0076356C">
        <w:rPr>
          <w:rFonts w:ascii="TradeGothic LT" w:hAnsi="TradeGothic LT"/>
          <w:lang w:val="fr-CH"/>
        </w:rPr>
        <w:t xml:space="preserve">rétribution </w:t>
      </w:r>
      <w:r w:rsidRPr="0076356C">
        <w:rPr>
          <w:rFonts w:ascii="TradeGothic LT" w:hAnsi="TradeGothic LT"/>
          <w:lang w:val="fr-CH"/>
        </w:rPr>
        <w:t xml:space="preserve">du courant </w:t>
      </w:r>
      <w:r w:rsidR="00903286" w:rsidRPr="0076356C">
        <w:rPr>
          <w:rFonts w:ascii="TradeGothic LT" w:hAnsi="TradeGothic LT"/>
          <w:lang w:val="fr-CH"/>
        </w:rPr>
        <w:t>repris</w:t>
      </w:r>
      <w:r w:rsidR="004B4654" w:rsidRPr="0076356C">
        <w:rPr>
          <w:rFonts w:ascii="TradeGothic LT" w:hAnsi="TradeGothic LT"/>
          <w:lang w:val="fr-CH"/>
        </w:rPr>
        <w:t xml:space="preserve"> est garantie pendant 20 ans </w:t>
      </w:r>
      <w:r w:rsidRPr="0076356C">
        <w:rPr>
          <w:rFonts w:ascii="TradeGothic LT" w:hAnsi="TradeGothic LT"/>
          <w:lang w:val="fr-CH"/>
        </w:rPr>
        <w:t>à</w:t>
      </w:r>
      <w:r w:rsidR="004B4654" w:rsidRPr="0076356C">
        <w:rPr>
          <w:rFonts w:ascii="TradeGothic LT" w:hAnsi="TradeGothic LT"/>
          <w:lang w:val="fr-CH"/>
        </w:rPr>
        <w:t xml:space="preserve"> un tarif fixe (par ex. 8 cts/kWh). </w:t>
      </w:r>
      <w:r w:rsidRPr="0076356C">
        <w:rPr>
          <w:rFonts w:ascii="TradeGothic LT" w:hAnsi="TradeGothic LT"/>
          <w:lang w:val="fr-CH"/>
        </w:rPr>
        <w:t xml:space="preserve">L'amortissement de l'installation serait ainsi </w:t>
      </w:r>
      <w:r w:rsidR="0076356C" w:rsidRPr="0076356C">
        <w:rPr>
          <w:rFonts w:ascii="TradeGothic LT" w:hAnsi="TradeGothic LT"/>
          <w:lang w:val="fr-CH"/>
        </w:rPr>
        <w:t>garanti</w:t>
      </w:r>
      <w:r w:rsidRPr="0076356C">
        <w:rPr>
          <w:rFonts w:ascii="TradeGothic LT" w:hAnsi="TradeGothic LT"/>
          <w:lang w:val="fr-CH"/>
        </w:rPr>
        <w:t>.</w:t>
      </w:r>
    </w:p>
    <w:p w:rsidR="00546332" w:rsidRPr="0076356C" w:rsidRDefault="00FA716B" w:rsidP="00345CF2">
      <w:pPr>
        <w:numPr>
          <w:ilvl w:val="0"/>
          <w:numId w:val="1"/>
        </w:numPr>
        <w:jc w:val="both"/>
        <w:rPr>
          <w:lang w:val="fr-CH"/>
        </w:rPr>
      </w:pPr>
      <w:r w:rsidRPr="0076356C">
        <w:rPr>
          <w:rFonts w:ascii="TradeGothic LT" w:hAnsi="TradeGothic LT"/>
          <w:b/>
          <w:bCs/>
          <w:lang w:val="fr-CH"/>
        </w:rPr>
        <w:t>Le m</w:t>
      </w:r>
      <w:r w:rsidR="004B4654" w:rsidRPr="0076356C">
        <w:rPr>
          <w:rFonts w:ascii="TradeGothic LT" w:hAnsi="TradeGothic LT"/>
          <w:b/>
          <w:bCs/>
          <w:lang w:val="fr-CH"/>
        </w:rPr>
        <w:t xml:space="preserve">odèle </w:t>
      </w:r>
      <w:r w:rsidRPr="0076356C">
        <w:rPr>
          <w:rFonts w:ascii="TradeGothic LT" w:hAnsi="TradeGothic LT"/>
          <w:b/>
          <w:bCs/>
          <w:lang w:val="fr-CH"/>
        </w:rPr>
        <w:t>variable</w:t>
      </w:r>
      <w:r w:rsidR="004B4654" w:rsidRPr="0076356C">
        <w:rPr>
          <w:rFonts w:ascii="TradeGothic LT" w:hAnsi="TradeGothic LT"/>
          <w:b/>
          <w:bCs/>
          <w:lang w:val="fr-CH"/>
        </w:rPr>
        <w:t xml:space="preserve">: </w:t>
      </w:r>
      <w:r w:rsidR="004B4654" w:rsidRPr="0076356C">
        <w:rPr>
          <w:rFonts w:ascii="TradeGothic LT" w:hAnsi="TradeGothic LT"/>
          <w:lang w:val="fr-CH"/>
        </w:rPr>
        <w:t xml:space="preserve">comme pour l'hypothèque </w:t>
      </w:r>
      <w:r w:rsidRPr="0076356C">
        <w:rPr>
          <w:rFonts w:ascii="TradeGothic LT" w:hAnsi="TradeGothic LT"/>
          <w:lang w:val="fr-CH"/>
        </w:rPr>
        <w:t xml:space="preserve">à taux </w:t>
      </w:r>
      <w:r w:rsidR="004B4654" w:rsidRPr="0076356C">
        <w:rPr>
          <w:rFonts w:ascii="TradeGothic LT" w:hAnsi="TradeGothic LT"/>
          <w:lang w:val="fr-CH"/>
        </w:rPr>
        <w:t xml:space="preserve">variable, les exploitants d'une installation optent pour le marché libre. L'électricité serait alors rémunérée au prix du marché </w:t>
      </w:r>
      <w:r w:rsidRPr="0076356C">
        <w:rPr>
          <w:rFonts w:ascii="TradeGothic LT" w:hAnsi="TradeGothic LT"/>
          <w:lang w:val="fr-CH"/>
        </w:rPr>
        <w:t xml:space="preserve"> </w:t>
      </w:r>
      <w:r w:rsidR="004B4654" w:rsidRPr="0076356C">
        <w:rPr>
          <w:rFonts w:ascii="TradeGothic LT" w:hAnsi="TradeGothic LT"/>
          <w:lang w:val="fr-CH"/>
        </w:rPr>
        <w:t xml:space="preserve">- avec toutes les opportunités </w:t>
      </w:r>
      <w:r w:rsidR="005067A2" w:rsidRPr="0076356C">
        <w:rPr>
          <w:rFonts w:ascii="TradeGothic LT" w:hAnsi="TradeGothic LT"/>
          <w:lang w:val="fr-CH"/>
        </w:rPr>
        <w:t xml:space="preserve">et </w:t>
      </w:r>
      <w:r w:rsidR="004B4654" w:rsidRPr="0076356C">
        <w:rPr>
          <w:rFonts w:ascii="TradeGothic LT" w:hAnsi="TradeGothic LT"/>
          <w:lang w:val="fr-CH"/>
        </w:rPr>
        <w:t xml:space="preserve">tous les </w:t>
      </w:r>
      <w:r w:rsidR="005067A2" w:rsidRPr="0076356C">
        <w:rPr>
          <w:rFonts w:ascii="TradeGothic LT" w:hAnsi="TradeGothic LT"/>
          <w:lang w:val="fr-CH"/>
        </w:rPr>
        <w:t xml:space="preserve">risques </w:t>
      </w:r>
      <w:r w:rsidR="004B4654" w:rsidRPr="0076356C">
        <w:rPr>
          <w:rFonts w:ascii="TradeGothic LT" w:hAnsi="TradeGothic LT"/>
          <w:lang w:val="fr-CH"/>
        </w:rPr>
        <w:t>du marché.</w:t>
      </w:r>
    </w:p>
    <w:p w:rsidR="00671FDA" w:rsidRPr="0076356C" w:rsidRDefault="00671FDA" w:rsidP="00345CF2">
      <w:pPr>
        <w:jc w:val="both"/>
        <w:rPr>
          <w:lang w:val="fr-CH"/>
        </w:rPr>
      </w:pPr>
    </w:p>
    <w:p w:rsidR="00546332" w:rsidRPr="0076356C" w:rsidRDefault="004B4654" w:rsidP="00345CF2">
      <w:pPr>
        <w:jc w:val="both"/>
        <w:rPr>
          <w:lang w:val="fr-CH"/>
        </w:rPr>
      </w:pPr>
      <w:r w:rsidRPr="0076356C">
        <w:rPr>
          <w:rFonts w:ascii="TradeGothic LT" w:hAnsi="TradeGothic LT"/>
          <w:lang w:val="fr-CH"/>
        </w:rPr>
        <w:t xml:space="preserve">Dans le </w:t>
      </w:r>
      <w:r w:rsidRPr="0076356C">
        <w:rPr>
          <w:rFonts w:ascii="TradeGothic LT" w:hAnsi="TradeGothic LT"/>
          <w:b/>
          <w:bCs/>
          <w:lang w:val="fr-CH"/>
        </w:rPr>
        <w:t>modèle fixe</w:t>
      </w:r>
      <w:r w:rsidRPr="0076356C">
        <w:rPr>
          <w:rFonts w:ascii="TradeGothic LT" w:hAnsi="TradeGothic LT"/>
          <w:lang w:val="fr-CH"/>
        </w:rPr>
        <w:t xml:space="preserve">, le prix est financé par les consommateurs finaux. En contrepartie, ces derniers ont la certitude, en cas de </w:t>
      </w:r>
      <w:r w:rsidR="00FA716B" w:rsidRPr="0076356C">
        <w:rPr>
          <w:rFonts w:ascii="TradeGothic LT" w:hAnsi="TradeGothic LT"/>
          <w:lang w:val="fr-CH"/>
        </w:rPr>
        <w:t>hausse</w:t>
      </w:r>
      <w:r w:rsidRPr="0076356C">
        <w:rPr>
          <w:rFonts w:ascii="TradeGothic LT" w:hAnsi="TradeGothic LT"/>
          <w:lang w:val="fr-CH"/>
        </w:rPr>
        <w:t xml:space="preserve"> des prix du marché, que le prix de l</w:t>
      </w:r>
      <w:r w:rsidR="00FA716B" w:rsidRPr="0076356C">
        <w:rPr>
          <w:rFonts w:ascii="TradeGothic LT" w:hAnsi="TradeGothic LT"/>
          <w:lang w:val="fr-CH"/>
        </w:rPr>
        <w:t>a</w:t>
      </w:r>
      <w:r w:rsidRPr="0076356C">
        <w:rPr>
          <w:rFonts w:ascii="TradeGothic LT" w:hAnsi="TradeGothic LT"/>
          <w:lang w:val="fr-CH"/>
        </w:rPr>
        <w:t xml:space="preserve"> part d'énergie solaire dans leur électricité restera </w:t>
      </w:r>
      <w:r w:rsidR="00554C81" w:rsidRPr="0076356C">
        <w:rPr>
          <w:rFonts w:ascii="TradeGothic LT" w:hAnsi="TradeGothic LT"/>
          <w:lang w:val="fr-CH"/>
        </w:rPr>
        <w:t>stable</w:t>
      </w:r>
      <w:r w:rsidRPr="0076356C">
        <w:rPr>
          <w:rFonts w:ascii="TradeGothic LT" w:hAnsi="TradeGothic LT"/>
          <w:lang w:val="fr-CH"/>
        </w:rPr>
        <w:t>. VESE a calculé qu'il n'en résulterait</w:t>
      </w:r>
      <w:r w:rsidR="00FA716B" w:rsidRPr="0076356C">
        <w:rPr>
          <w:rFonts w:ascii="TradeGothic LT" w:hAnsi="TradeGothic LT"/>
          <w:lang w:val="fr-CH"/>
        </w:rPr>
        <w:t xml:space="preserve"> </w:t>
      </w:r>
      <w:r w:rsidRPr="0076356C">
        <w:rPr>
          <w:rFonts w:ascii="TradeGothic LT" w:hAnsi="TradeGothic LT"/>
          <w:lang w:val="fr-CH"/>
        </w:rPr>
        <w:t xml:space="preserve"> -</w:t>
      </w:r>
      <w:r w:rsidR="00FA716B" w:rsidRPr="0076356C">
        <w:rPr>
          <w:rFonts w:ascii="TradeGothic LT" w:hAnsi="TradeGothic LT"/>
          <w:lang w:val="fr-CH"/>
        </w:rPr>
        <w:t> </w:t>
      </w:r>
      <w:r w:rsidRPr="0076356C">
        <w:rPr>
          <w:rFonts w:ascii="TradeGothic LT" w:hAnsi="TradeGothic LT"/>
          <w:lang w:val="fr-CH"/>
        </w:rPr>
        <w:t xml:space="preserve">à long terme et du point de vue </w:t>
      </w:r>
      <w:r w:rsidR="00FA716B" w:rsidRPr="0076356C">
        <w:rPr>
          <w:rFonts w:ascii="TradeGothic LT" w:hAnsi="TradeGothic LT"/>
          <w:lang w:val="fr-CH"/>
        </w:rPr>
        <w:t>économique </w:t>
      </w:r>
      <w:r w:rsidRPr="0076356C">
        <w:rPr>
          <w:rFonts w:ascii="TradeGothic LT" w:hAnsi="TradeGothic LT"/>
          <w:lang w:val="fr-CH"/>
        </w:rPr>
        <w:t xml:space="preserve">- </w:t>
      </w:r>
      <w:r w:rsidR="00FA716B" w:rsidRPr="0076356C">
        <w:rPr>
          <w:rFonts w:ascii="TradeGothic LT" w:hAnsi="TradeGothic LT"/>
          <w:lang w:val="fr-CH"/>
        </w:rPr>
        <w:t xml:space="preserve"> </w:t>
      </w:r>
      <w:r w:rsidR="000712CD" w:rsidRPr="0076356C">
        <w:rPr>
          <w:rFonts w:ascii="TradeGothic LT" w:hAnsi="TradeGothic LT"/>
          <w:lang w:val="fr-CH"/>
        </w:rPr>
        <w:t xml:space="preserve">que </w:t>
      </w:r>
      <w:r w:rsidRPr="0076356C">
        <w:rPr>
          <w:rFonts w:ascii="TradeGothic LT" w:hAnsi="TradeGothic LT"/>
          <w:lang w:val="fr-CH"/>
        </w:rPr>
        <w:t xml:space="preserve">des avantages pour les deux parties. (voir aussi: </w:t>
      </w:r>
      <w:hyperlink r:id="rId7" w:history="1">
        <w:r w:rsidR="00554C81" w:rsidRPr="0076356C">
          <w:rPr>
            <w:rStyle w:val="Lienhypertexte"/>
            <w:rFonts w:ascii="TradeGothic LT" w:hAnsi="TradeGothic LT"/>
            <w:lang w:val="fr-CH"/>
          </w:rPr>
          <w:t xml:space="preserve">www. </w:t>
        </w:r>
        <w:r w:rsidRPr="0076356C">
          <w:rPr>
            <w:rStyle w:val="Lienhypertexte"/>
            <w:rFonts w:ascii="TradeGothic LT" w:hAnsi="TradeGothic LT"/>
            <w:lang w:val="fr-CH"/>
          </w:rPr>
          <w:t>vese.ch/minrl</w:t>
        </w:r>
      </w:hyperlink>
      <w:r w:rsidRPr="0076356C">
        <w:rPr>
          <w:rFonts w:ascii="TradeGothic LT" w:hAnsi="TradeGothic LT"/>
          <w:lang w:val="fr-CH"/>
        </w:rPr>
        <w:t>)</w:t>
      </w:r>
    </w:p>
    <w:p w:rsidR="00017B3F" w:rsidRPr="0076356C" w:rsidRDefault="00017B3F" w:rsidP="00345CF2">
      <w:pPr>
        <w:jc w:val="both"/>
        <w:rPr>
          <w:rFonts w:ascii="TradeGothic LT" w:hAnsi="TradeGothic LT"/>
          <w:lang w:val="fr-CH"/>
        </w:rPr>
      </w:pPr>
    </w:p>
    <w:p w:rsidR="00546332" w:rsidRPr="0076356C" w:rsidRDefault="004B4654" w:rsidP="00345CF2">
      <w:pPr>
        <w:jc w:val="both"/>
        <w:rPr>
          <w:lang w:val="fr-CH"/>
        </w:rPr>
      </w:pPr>
      <w:r w:rsidRPr="0076356C">
        <w:rPr>
          <w:rFonts w:ascii="TradeGothic LT" w:hAnsi="TradeGothic LT"/>
          <w:lang w:val="fr-CH"/>
        </w:rPr>
        <w:t xml:space="preserve">Dans le </w:t>
      </w:r>
      <w:r w:rsidRPr="0076356C">
        <w:rPr>
          <w:rFonts w:ascii="TradeGothic LT" w:hAnsi="TradeGothic LT"/>
          <w:b/>
          <w:bCs/>
          <w:lang w:val="fr-CH"/>
        </w:rPr>
        <w:t xml:space="preserve">modèle </w:t>
      </w:r>
      <w:r w:rsidR="00FA716B" w:rsidRPr="0076356C">
        <w:rPr>
          <w:rFonts w:ascii="TradeGothic LT" w:hAnsi="TradeGothic LT"/>
          <w:b/>
          <w:bCs/>
          <w:lang w:val="fr-CH"/>
        </w:rPr>
        <w:t>variable</w:t>
      </w:r>
      <w:r w:rsidRPr="0076356C">
        <w:rPr>
          <w:rFonts w:ascii="TradeGothic LT" w:hAnsi="TradeGothic LT"/>
          <w:lang w:val="fr-CH"/>
        </w:rPr>
        <w:t>, l'électricité est rémunérée au prix du marché. Selon l'évolution du prix de l'électricité, cela peut entraîner d'importantes pertes ou au contraire des bénéfices pour l'exploitant.</w:t>
      </w:r>
    </w:p>
    <w:p w:rsidR="00671FDA" w:rsidRPr="0076356C" w:rsidRDefault="00671FDA" w:rsidP="00345CF2">
      <w:pPr>
        <w:jc w:val="both"/>
        <w:rPr>
          <w:lang w:val="fr-CH"/>
        </w:rPr>
      </w:pPr>
    </w:p>
    <w:p w:rsidR="008B63F1" w:rsidRPr="0076356C" w:rsidRDefault="004B4654" w:rsidP="00345CF2">
      <w:pPr>
        <w:jc w:val="both"/>
        <w:rPr>
          <w:rFonts w:ascii="TradeGothic LT" w:hAnsi="TradeGothic LT"/>
          <w:lang w:val="fr-CH"/>
        </w:rPr>
      </w:pPr>
      <w:r w:rsidRPr="0076356C">
        <w:rPr>
          <w:rFonts w:ascii="TradeGothic LT" w:hAnsi="TradeGothic LT"/>
          <w:lang w:val="fr-CH"/>
        </w:rPr>
        <w:t>Les deux modèles ont en commun l'exigence d'un</w:t>
      </w:r>
      <w:r w:rsidR="008B63F1" w:rsidRPr="0076356C">
        <w:rPr>
          <w:rFonts w:ascii="TradeGothic LT" w:hAnsi="TradeGothic LT"/>
          <w:lang w:val="fr-CH"/>
        </w:rPr>
        <w:t xml:space="preserve"> organisme central pour la gestion de</w:t>
      </w:r>
      <w:r w:rsidRPr="0076356C">
        <w:rPr>
          <w:rFonts w:ascii="TradeGothic LT" w:hAnsi="TradeGothic LT"/>
          <w:lang w:val="fr-CH"/>
        </w:rPr>
        <w:t xml:space="preserve"> l'électricité solaire. Cela correspond également à la proposition de l'AES. Selon le modèle choisi, la rétribution se fait </w:t>
      </w:r>
      <w:r w:rsidR="003B6049">
        <w:rPr>
          <w:rFonts w:ascii="TradeGothic LT" w:hAnsi="TradeGothic LT"/>
          <w:lang w:val="fr-CH"/>
        </w:rPr>
        <w:t>à</w:t>
      </w:r>
      <w:r w:rsidRPr="0076356C">
        <w:rPr>
          <w:rFonts w:ascii="TradeGothic LT" w:hAnsi="TradeGothic LT"/>
          <w:lang w:val="fr-CH"/>
        </w:rPr>
        <w:t xml:space="preserve"> un prix fixe ou en fonction du prix du marché.</w:t>
      </w:r>
    </w:p>
    <w:p w:rsidR="0076356C" w:rsidRPr="0076356C" w:rsidRDefault="0076356C" w:rsidP="00345CF2">
      <w:pPr>
        <w:jc w:val="both"/>
        <w:rPr>
          <w:rFonts w:ascii="TradeGothic LT" w:hAnsi="TradeGothic LT"/>
          <w:lang w:val="fr-CH"/>
        </w:rPr>
      </w:pPr>
    </w:p>
    <w:p w:rsidR="00546332" w:rsidRPr="0076356C" w:rsidRDefault="002F6FC4" w:rsidP="00345CF2">
      <w:pPr>
        <w:jc w:val="both"/>
        <w:rPr>
          <w:lang w:val="fr-CH"/>
        </w:rPr>
      </w:pPr>
      <w:r w:rsidRPr="0076356C">
        <w:rPr>
          <w:rFonts w:ascii="TradeGothic LT" w:hAnsi="TradeGothic LT"/>
          <w:lang w:val="fr-CH"/>
        </w:rPr>
        <w:t xml:space="preserve">Ce modèle </w:t>
      </w:r>
      <w:r w:rsidR="0076356C" w:rsidRPr="0076356C">
        <w:rPr>
          <w:rFonts w:ascii="TradeGothic LT" w:hAnsi="TradeGothic LT"/>
          <w:lang w:val="fr-CH"/>
        </w:rPr>
        <w:t xml:space="preserve">amélioré </w:t>
      </w:r>
      <w:r w:rsidRPr="0076356C">
        <w:rPr>
          <w:rFonts w:ascii="TradeGothic LT" w:hAnsi="TradeGothic LT"/>
          <w:lang w:val="fr-CH"/>
        </w:rPr>
        <w:t>avec la liberté de choix satisfait toutes les parties. Il tient compte à la fois des exigences d'une rétribution conforme au marché et des exigences de sécurité d'investissement pour les exploitants d'installations solaires</w:t>
      </w:r>
      <w:r w:rsidR="004B4654" w:rsidRPr="0076356C">
        <w:rPr>
          <w:rFonts w:ascii="TradeGothic LT" w:hAnsi="TradeGothic LT"/>
          <w:lang w:val="fr-CH"/>
        </w:rPr>
        <w:t xml:space="preserve">. Un autre avantage de ce modèle est que la stratégie de </w:t>
      </w:r>
      <w:r w:rsidRPr="0076356C">
        <w:rPr>
          <w:rFonts w:ascii="TradeGothic LT" w:hAnsi="TradeGothic LT"/>
          <w:lang w:val="fr-CH"/>
        </w:rPr>
        <w:t>rétribution</w:t>
      </w:r>
      <w:r w:rsidR="004B4654" w:rsidRPr="0076356C">
        <w:rPr>
          <w:rFonts w:ascii="TradeGothic LT" w:hAnsi="TradeGothic LT"/>
          <w:lang w:val="fr-CH"/>
        </w:rPr>
        <w:t xml:space="preserve"> optimale peut être testée et comparée directement dans l'application.</w:t>
      </w:r>
    </w:p>
    <w:p w:rsidR="00671FDA" w:rsidRPr="0076356C" w:rsidRDefault="00671FDA" w:rsidP="00345CF2">
      <w:pPr>
        <w:jc w:val="both"/>
        <w:rPr>
          <w:rFonts w:ascii="TradeGothic LT" w:hAnsi="TradeGothic LT"/>
          <w:lang w:val="fr-CH"/>
        </w:rPr>
      </w:pPr>
    </w:p>
    <w:p w:rsidR="00546332" w:rsidRPr="0076356C" w:rsidRDefault="004B4654" w:rsidP="00345CF2">
      <w:pPr>
        <w:jc w:val="both"/>
        <w:rPr>
          <w:rFonts w:ascii="TradeGothic LT" w:hAnsi="TradeGothic LT"/>
          <w:sz w:val="20"/>
          <w:szCs w:val="20"/>
          <w:lang w:val="fr-CH"/>
        </w:rPr>
      </w:pPr>
      <w:r w:rsidRPr="0076356C">
        <w:rPr>
          <w:rFonts w:ascii="TradeGothic LT" w:hAnsi="TradeGothic LT"/>
          <w:b/>
          <w:bCs/>
          <w:lang w:val="fr-CH"/>
        </w:rPr>
        <w:t>La SSES :</w:t>
      </w:r>
    </w:p>
    <w:p w:rsidR="00546332" w:rsidRPr="0076356C" w:rsidRDefault="004B4654" w:rsidP="00345CF2">
      <w:pPr>
        <w:jc w:val="both"/>
        <w:rPr>
          <w:rFonts w:ascii="TradeGothic LT" w:hAnsi="TradeGothic LT"/>
          <w:sz w:val="20"/>
          <w:szCs w:val="20"/>
          <w:lang w:val="fr-CH"/>
        </w:rPr>
      </w:pPr>
      <w:r w:rsidRPr="0076356C">
        <w:rPr>
          <w:rFonts w:ascii="TradeGothic LT" w:hAnsi="TradeGothic LT"/>
          <w:sz w:val="20"/>
          <w:szCs w:val="20"/>
          <w:lang w:val="fr-CH"/>
        </w:rPr>
        <w:t xml:space="preserve">En réaction à la crise énergétique de 1973, la Société suisse pour l'énergie solaire SSES a été fondée le 11 juin 1974 à Berne en tant qu'association de droit privé. La SSES compte environ 4500 membres et est active dans toute la Suisse en tant qu'organisation de consommateurs dans le domaine de l'énergie solaire au sein de 11 groupes régionaux et spécialisés. La SSES est membre de l'Alliance climatique et s'engage pour une Suisse 100% renouvelable. Ses projets comprennent des travaux de </w:t>
      </w:r>
      <w:r w:rsidRPr="0076356C">
        <w:rPr>
          <w:rFonts w:ascii="TradeGothic LT" w:hAnsi="TradeGothic LT"/>
          <w:sz w:val="20"/>
          <w:szCs w:val="20"/>
          <w:lang w:val="fr-CH"/>
        </w:rPr>
        <w:lastRenderedPageBreak/>
        <w:t xml:space="preserve">relations publiques et d'information, mais aussi la participation au processus d'élaboration politique et des projets visant à promouvoir le développement de l'énergie solaire. </w:t>
      </w:r>
    </w:p>
    <w:p w:rsidR="00935E0D" w:rsidRPr="0076356C" w:rsidRDefault="00935E0D" w:rsidP="00345CF2">
      <w:pPr>
        <w:jc w:val="both"/>
        <w:rPr>
          <w:rFonts w:ascii="TradeGothic LT" w:hAnsi="TradeGothic LT"/>
          <w:lang w:val="fr-CH"/>
        </w:rPr>
      </w:pPr>
    </w:p>
    <w:p w:rsidR="00546332" w:rsidRPr="0076356C" w:rsidRDefault="004B4654" w:rsidP="00345CF2">
      <w:pPr>
        <w:jc w:val="both"/>
        <w:rPr>
          <w:rFonts w:ascii="TradeGothic LT" w:hAnsi="TradeGothic LT"/>
          <w:b/>
          <w:bCs/>
          <w:lang w:val="fr-CH"/>
        </w:rPr>
      </w:pPr>
      <w:r w:rsidRPr="0076356C">
        <w:rPr>
          <w:rFonts w:ascii="TradeGothic LT" w:hAnsi="TradeGothic LT"/>
          <w:b/>
          <w:bCs/>
          <w:lang w:val="fr-CH"/>
        </w:rPr>
        <w:t xml:space="preserve">À propos de </w:t>
      </w:r>
      <w:r w:rsidR="00935E0D" w:rsidRPr="0076356C">
        <w:rPr>
          <w:rFonts w:ascii="TradeGothic LT" w:hAnsi="TradeGothic LT"/>
          <w:b/>
          <w:bCs/>
          <w:lang w:val="fr-CH"/>
        </w:rPr>
        <w:t>VESE:</w:t>
      </w:r>
    </w:p>
    <w:p w:rsidR="00546332" w:rsidRPr="0076356C" w:rsidRDefault="004B4654" w:rsidP="00345CF2">
      <w:pPr>
        <w:jc w:val="both"/>
        <w:rPr>
          <w:rFonts w:ascii="TradeGothic LT" w:hAnsi="TradeGothic LT"/>
          <w:sz w:val="20"/>
          <w:szCs w:val="20"/>
          <w:lang w:val="fr-CH"/>
        </w:rPr>
      </w:pPr>
      <w:r w:rsidRPr="0076356C">
        <w:rPr>
          <w:rFonts w:ascii="TradeGothic LT" w:hAnsi="TradeGothic LT"/>
          <w:sz w:val="20"/>
          <w:szCs w:val="20"/>
          <w:lang w:val="fr-CH"/>
        </w:rPr>
        <w:t xml:space="preserve">VESE s'engage pour une "Suisse </w:t>
      </w:r>
      <w:r w:rsidR="00CE33C4" w:rsidRPr="0076356C">
        <w:rPr>
          <w:rFonts w:ascii="TradeGothic LT" w:hAnsi="TradeGothic LT"/>
          <w:sz w:val="20"/>
          <w:szCs w:val="20"/>
          <w:lang w:val="fr-CH"/>
        </w:rPr>
        <w:t>100%</w:t>
      </w:r>
      <w:r w:rsidRPr="0076356C">
        <w:rPr>
          <w:rFonts w:ascii="TradeGothic LT" w:hAnsi="TradeGothic LT"/>
          <w:sz w:val="20"/>
          <w:szCs w:val="20"/>
          <w:lang w:val="fr-CH"/>
        </w:rPr>
        <w:t xml:space="preserve"> renouvelable" dans le cadre d'un tournant énergétique largement soutenu. Les membres de VESE sont des coopératives solaires ainsi que des exploitants privés et institutionnels d'installations de production d'énergie renouvelable, en particulier d'installa</w:t>
      </w:r>
      <w:r w:rsidR="0076356C" w:rsidRPr="0076356C">
        <w:rPr>
          <w:rFonts w:ascii="TradeGothic LT" w:hAnsi="TradeGothic LT"/>
          <w:sz w:val="20"/>
          <w:szCs w:val="20"/>
          <w:lang w:val="fr-CH"/>
        </w:rPr>
        <w:softHyphen/>
      </w:r>
      <w:r w:rsidRPr="0076356C">
        <w:rPr>
          <w:rFonts w:ascii="TradeGothic LT" w:hAnsi="TradeGothic LT"/>
          <w:sz w:val="20"/>
          <w:szCs w:val="20"/>
          <w:lang w:val="fr-CH"/>
        </w:rPr>
        <w:t xml:space="preserve">tions solaires. VESE est organisée en tant que groupe spécialisé de la Société suisse pour l'énergie solaire (SSES). Vous trouverez également de plus amples informations sur notre site Internet </w:t>
      </w:r>
      <w:hyperlink r:id="rId8" w:history="1">
        <w:r w:rsidRPr="0076356C">
          <w:rPr>
            <w:rStyle w:val="Lienhypertexte"/>
            <w:rFonts w:ascii="TradeGothic LT" w:hAnsi="TradeGothic LT"/>
            <w:sz w:val="20"/>
            <w:szCs w:val="20"/>
            <w:lang w:val="fr-CH"/>
          </w:rPr>
          <w:t>www.vese.ch</w:t>
        </w:r>
      </w:hyperlink>
      <w:r w:rsidRPr="0076356C">
        <w:rPr>
          <w:rFonts w:ascii="TradeGothic LT" w:hAnsi="TradeGothic LT"/>
          <w:sz w:val="20"/>
          <w:szCs w:val="20"/>
          <w:lang w:val="fr-CH"/>
        </w:rPr>
        <w:t>.</w:t>
      </w:r>
    </w:p>
    <w:p w:rsidR="00AA3B72" w:rsidRPr="0076356C" w:rsidRDefault="00AA3B72" w:rsidP="00345CF2">
      <w:pPr>
        <w:jc w:val="both"/>
        <w:rPr>
          <w:rFonts w:ascii="TradeGothic LT" w:hAnsi="TradeGothic LT"/>
          <w:lang w:val="fr-CH"/>
        </w:rPr>
      </w:pPr>
    </w:p>
    <w:p w:rsidR="00546332" w:rsidRPr="0076356C" w:rsidRDefault="004B4654" w:rsidP="00345CF2">
      <w:pPr>
        <w:jc w:val="both"/>
        <w:rPr>
          <w:rFonts w:ascii="TradeGothic LT" w:hAnsi="TradeGothic LT"/>
          <w:b/>
          <w:bCs/>
          <w:lang w:val="fr-CH"/>
        </w:rPr>
      </w:pPr>
      <w:r w:rsidRPr="0076356C">
        <w:rPr>
          <w:rFonts w:ascii="TradeGothic LT" w:hAnsi="TradeGothic LT"/>
          <w:b/>
          <w:bCs/>
          <w:lang w:val="fr-CH"/>
        </w:rPr>
        <w:t xml:space="preserve">Contact et questions: </w:t>
      </w:r>
    </w:p>
    <w:p w:rsidR="00546332" w:rsidRPr="0076356C" w:rsidRDefault="004B4654" w:rsidP="00345CF2">
      <w:pPr>
        <w:jc w:val="both"/>
        <w:rPr>
          <w:rFonts w:ascii="TradeGothic LT" w:hAnsi="TradeGothic LT"/>
          <w:lang w:val="fr-CH"/>
        </w:rPr>
      </w:pPr>
      <w:r w:rsidRPr="0076356C">
        <w:rPr>
          <w:rFonts w:ascii="TradeGothic LT" w:hAnsi="TradeGothic LT"/>
          <w:lang w:val="fr-CH"/>
        </w:rPr>
        <w:t>Walter Sachs, président de</w:t>
      </w:r>
      <w:r w:rsidR="0076356C" w:rsidRPr="0076356C">
        <w:rPr>
          <w:rFonts w:ascii="TradeGothic LT" w:hAnsi="TradeGothic LT"/>
          <w:lang w:val="fr-CH"/>
        </w:rPr>
        <w:t xml:space="preserve"> </w:t>
      </w:r>
      <w:r w:rsidRPr="0076356C">
        <w:rPr>
          <w:rFonts w:ascii="TradeGothic LT" w:hAnsi="TradeGothic LT"/>
          <w:lang w:val="fr-CH"/>
        </w:rPr>
        <w:t xml:space="preserve">VESE, </w:t>
      </w:r>
      <w:r w:rsidR="00CE33C4" w:rsidRPr="0076356C">
        <w:rPr>
          <w:rFonts w:ascii="TradeGothic LT" w:hAnsi="TradeGothic LT"/>
          <w:lang w:val="fr-CH"/>
        </w:rPr>
        <w:t xml:space="preserve">Tél. </w:t>
      </w:r>
      <w:hyperlink r:id="rId9" w:history="1">
        <w:r w:rsidRPr="0076356C">
          <w:rPr>
            <w:rStyle w:val="Lienhypertexte"/>
            <w:rFonts w:ascii="TradeGothic LT" w:hAnsi="TradeGothic LT"/>
            <w:lang w:val="fr-CH"/>
          </w:rPr>
          <w:t>076 528 09 36</w:t>
        </w:r>
      </w:hyperlink>
      <w:r w:rsidR="00CE33C4" w:rsidRPr="0076356C">
        <w:rPr>
          <w:rFonts w:ascii="TradeGothic LT" w:hAnsi="TradeGothic LT"/>
          <w:lang w:val="fr-CH"/>
        </w:rPr>
        <w:t xml:space="preserve">, </w:t>
      </w:r>
      <w:hyperlink r:id="rId10" w:history="1">
        <w:r w:rsidR="00CE33C4" w:rsidRPr="0076356C">
          <w:rPr>
            <w:rStyle w:val="Lienhypertexte"/>
            <w:rFonts w:ascii="TradeGothic LT" w:hAnsi="TradeGothic LT"/>
            <w:lang w:val="fr-CH"/>
          </w:rPr>
          <w:t>walter.sachs@vese.ch</w:t>
        </w:r>
      </w:hyperlink>
      <w:r w:rsidRPr="0076356C">
        <w:rPr>
          <w:rFonts w:ascii="TradeGothic LT" w:hAnsi="TradeGothic LT"/>
          <w:lang w:val="fr-CH"/>
        </w:rPr>
        <w:t xml:space="preserve"> </w:t>
      </w:r>
    </w:p>
    <w:p w:rsidR="00546332" w:rsidRPr="0076356C" w:rsidRDefault="004B4654" w:rsidP="00345CF2">
      <w:pPr>
        <w:jc w:val="both"/>
        <w:rPr>
          <w:rFonts w:ascii="TradeGothic LT" w:hAnsi="TradeGothic LT"/>
          <w:lang w:val="fr-CH"/>
        </w:rPr>
      </w:pPr>
      <w:r w:rsidRPr="0076356C">
        <w:rPr>
          <w:rFonts w:ascii="TradeGothic LT" w:hAnsi="TradeGothic LT"/>
          <w:lang w:val="fr-CH"/>
        </w:rPr>
        <w:t xml:space="preserve">Beat Kohler, responsable de la communication SSES, </w:t>
      </w:r>
      <w:hyperlink r:id="rId11" w:history="1">
        <w:r w:rsidRPr="0076356C">
          <w:rPr>
            <w:rStyle w:val="Lienhypertexte"/>
            <w:rFonts w:ascii="TradeGothic LT" w:hAnsi="TradeGothic LT"/>
            <w:lang w:val="fr-CH"/>
          </w:rPr>
          <w:t>079 388 26 69</w:t>
        </w:r>
      </w:hyperlink>
      <w:r w:rsidR="00CE33C4" w:rsidRPr="0076356C">
        <w:rPr>
          <w:rFonts w:ascii="TradeGothic LT" w:hAnsi="TradeGothic LT"/>
          <w:lang w:val="fr-CH"/>
        </w:rPr>
        <w:t xml:space="preserve">, </w:t>
      </w:r>
      <w:hyperlink r:id="rId12" w:history="1">
        <w:r w:rsidR="00CE33C4" w:rsidRPr="0076356C">
          <w:rPr>
            <w:rStyle w:val="Lienhypertexte"/>
            <w:rFonts w:ascii="TradeGothic LT" w:hAnsi="TradeGothic LT"/>
            <w:lang w:val="fr-CH"/>
          </w:rPr>
          <w:t>redaktion@sses.ch</w:t>
        </w:r>
      </w:hyperlink>
    </w:p>
    <w:p w:rsidR="00CE33C4" w:rsidRPr="0076356C" w:rsidRDefault="00CE33C4" w:rsidP="00345CF2">
      <w:pPr>
        <w:jc w:val="both"/>
        <w:rPr>
          <w:rFonts w:ascii="TradeGothic LT" w:hAnsi="TradeGothic LT"/>
          <w:lang w:val="fr-CH"/>
        </w:rPr>
      </w:pPr>
    </w:p>
    <w:p w:rsidR="00CE33C4" w:rsidRPr="0076356C" w:rsidRDefault="00CE33C4" w:rsidP="00345CF2">
      <w:pPr>
        <w:jc w:val="both"/>
        <w:rPr>
          <w:rFonts w:ascii="TradeGothic LT" w:hAnsi="TradeGothic LT"/>
          <w:lang w:val="fr-CH"/>
        </w:rPr>
      </w:pPr>
    </w:p>
    <w:p w:rsidR="00CE33C4" w:rsidRPr="0076356C" w:rsidRDefault="00CE33C4" w:rsidP="00345CF2">
      <w:pPr>
        <w:jc w:val="both"/>
        <w:rPr>
          <w:rFonts w:ascii="TradeGothic LT" w:hAnsi="TradeGothic LT"/>
          <w:lang w:val="fr-CH"/>
        </w:rPr>
      </w:pPr>
    </w:p>
    <w:p w:rsidR="00CE33C4" w:rsidRPr="0076356C" w:rsidRDefault="00CE33C4" w:rsidP="00345CF2">
      <w:pPr>
        <w:jc w:val="both"/>
        <w:rPr>
          <w:rFonts w:ascii="TradeGothic LT" w:hAnsi="TradeGothic LT"/>
          <w:lang w:val="fr-CH"/>
        </w:rPr>
      </w:pPr>
    </w:p>
    <w:p w:rsidR="00CE33C4" w:rsidRPr="0076356C" w:rsidRDefault="00CE33C4" w:rsidP="00345CF2">
      <w:pPr>
        <w:jc w:val="both"/>
        <w:rPr>
          <w:rFonts w:ascii="TradeGothic LT" w:hAnsi="TradeGothic LT"/>
          <w:lang w:val="fr-CH"/>
        </w:rPr>
      </w:pPr>
    </w:p>
    <w:p w:rsidR="00CE33C4" w:rsidRPr="0076356C" w:rsidRDefault="00CE33C4" w:rsidP="00345CF2">
      <w:pPr>
        <w:tabs>
          <w:tab w:val="left" w:pos="1965"/>
        </w:tabs>
        <w:jc w:val="both"/>
        <w:rPr>
          <w:rFonts w:ascii="TradeGothic LT" w:hAnsi="TradeGothic LT"/>
          <w:lang w:val="fr-CH"/>
        </w:rPr>
      </w:pPr>
      <w:r w:rsidRPr="0076356C">
        <w:rPr>
          <w:rFonts w:ascii="TradeGothic LT" w:hAnsi="TradeGothic LT"/>
          <w:lang w:val="fr-CH"/>
        </w:rPr>
        <w:tab/>
      </w:r>
    </w:p>
    <w:sectPr w:rsidR="00CE33C4" w:rsidRPr="0076356C" w:rsidSect="009B4981">
      <w:headerReference w:type="default" r:id="rId13"/>
      <w:footerReference w:type="default" r:id="rId14"/>
      <w:pgSz w:w="11906" w:h="16838"/>
      <w:pgMar w:top="2268" w:right="1134" w:bottom="1134" w:left="1701" w:header="709"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1F5" w:rsidRDefault="005B51F5">
      <w:pPr>
        <w:spacing w:line="240" w:lineRule="auto"/>
      </w:pPr>
      <w:r>
        <w:separator/>
      </w:r>
    </w:p>
  </w:endnote>
  <w:endnote w:type="continuationSeparator" w:id="0">
    <w:p w:rsidR="005B51F5" w:rsidRDefault="005B51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adeGothic LT">
    <w:altName w:val="Yu Gothic"/>
    <w:charset w:val="4D"/>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182691"/>
      <w:docPartObj>
        <w:docPartGallery w:val="Page Numbers (Bottom of Page)"/>
        <w:docPartUnique/>
      </w:docPartObj>
    </w:sdtPr>
    <w:sdtContent>
      <w:p w:rsidR="008B63F1" w:rsidRDefault="00BC2AD6">
        <w:pPr>
          <w:pStyle w:val="Pieddepage"/>
          <w:jc w:val="center"/>
        </w:pPr>
        <w:fldSimple w:instr="PAGE   \* MERGEFORMAT">
          <w:r w:rsidR="007939DE" w:rsidRPr="007939DE">
            <w:rPr>
              <w:noProof/>
              <w:lang w:val="de-DE"/>
            </w:rPr>
            <w:t>1</w:t>
          </w:r>
        </w:fldSimple>
      </w:p>
    </w:sdtContent>
  </w:sdt>
  <w:p w:rsidR="008B63F1" w:rsidRDefault="008B63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1F5" w:rsidRDefault="005B51F5">
      <w:pPr>
        <w:spacing w:line="240" w:lineRule="auto"/>
      </w:pPr>
      <w:r>
        <w:separator/>
      </w:r>
    </w:p>
  </w:footnote>
  <w:footnote w:type="continuationSeparator" w:id="0">
    <w:p w:rsidR="005B51F5" w:rsidRDefault="005B51F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3F1" w:rsidRDefault="008B63F1">
    <w:pPr>
      <w:pStyle w:val="En-tte"/>
    </w:pPr>
    <w:r>
      <w:rPr>
        <w:noProof/>
        <w:sz w:val="24"/>
        <w:szCs w:val="24"/>
        <w:lang w:val="fr-CH" w:eastAsia="fr-CH"/>
      </w:rPr>
      <w:drawing>
        <wp:anchor distT="0" distB="0" distL="114300" distR="114300" simplePos="0" relativeHeight="251660288" behindDoc="0" locked="0" layoutInCell="1" allowOverlap="1">
          <wp:simplePos x="0" y="0"/>
          <wp:positionH relativeFrom="column">
            <wp:posOffset>-879475</wp:posOffset>
          </wp:positionH>
          <wp:positionV relativeFrom="paragraph">
            <wp:posOffset>-240030</wp:posOffset>
          </wp:positionV>
          <wp:extent cx="4410075" cy="75184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751840"/>
                  </a:xfrm>
                  <a:prstGeom prst="rect">
                    <a:avLst/>
                  </a:prstGeom>
                  <a:noFill/>
                  <a:ln>
                    <a:noFill/>
                  </a:ln>
                </pic:spPr>
              </pic:pic>
            </a:graphicData>
          </a:graphic>
        </wp:anchor>
      </w:drawing>
    </w:r>
    <w:r>
      <w:rPr>
        <w:noProof/>
        <w:sz w:val="24"/>
        <w:szCs w:val="24"/>
        <w:lang w:val="fr-CH" w:eastAsia="fr-CH"/>
      </w:rPr>
      <w:drawing>
        <wp:anchor distT="0" distB="0" distL="114300" distR="114300" simplePos="0" relativeHeight="251659264" behindDoc="0" locked="0" layoutInCell="1" allowOverlap="1">
          <wp:simplePos x="0" y="0"/>
          <wp:positionH relativeFrom="page">
            <wp:posOffset>5384165</wp:posOffset>
          </wp:positionH>
          <wp:positionV relativeFrom="paragraph">
            <wp:posOffset>-421640</wp:posOffset>
          </wp:positionV>
          <wp:extent cx="2100470" cy="9525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0470" cy="9525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stylePaneFormatFilter w:val="000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w:hdrShapeDefaults>
  <w:footnotePr>
    <w:footnote w:id="-1"/>
    <w:footnote w:id="0"/>
  </w:footnotePr>
  <w:endnotePr>
    <w:endnote w:id="-1"/>
    <w:endnote w:id="0"/>
  </w:endnotePr>
  <w:compat>
    <w:spaceForUL/>
    <w:balanceSingleByteDoubleByteWidth/>
    <w:doNotLeaveBackslashAlone/>
    <w:ulTrailSpace/>
    <w:adjustLineHeightInTable/>
  </w:compat>
  <w:rsids>
    <w:rsidRoot w:val="00AA3B72"/>
    <w:rsid w:val="00017B3F"/>
    <w:rsid w:val="000712CD"/>
    <w:rsid w:val="00196CF1"/>
    <w:rsid w:val="002222EB"/>
    <w:rsid w:val="00231490"/>
    <w:rsid w:val="00283D4B"/>
    <w:rsid w:val="002F6FC4"/>
    <w:rsid w:val="00305F46"/>
    <w:rsid w:val="0032528B"/>
    <w:rsid w:val="00345CF2"/>
    <w:rsid w:val="003B6049"/>
    <w:rsid w:val="004B4654"/>
    <w:rsid w:val="004D39A2"/>
    <w:rsid w:val="005067A2"/>
    <w:rsid w:val="00546332"/>
    <w:rsid w:val="00554C81"/>
    <w:rsid w:val="005B51F5"/>
    <w:rsid w:val="00671FDA"/>
    <w:rsid w:val="006917F2"/>
    <w:rsid w:val="0076356C"/>
    <w:rsid w:val="007939DE"/>
    <w:rsid w:val="008124BD"/>
    <w:rsid w:val="00846833"/>
    <w:rsid w:val="008B63F1"/>
    <w:rsid w:val="00903286"/>
    <w:rsid w:val="00935E0D"/>
    <w:rsid w:val="009B1613"/>
    <w:rsid w:val="009B4981"/>
    <w:rsid w:val="00AA3B72"/>
    <w:rsid w:val="00BC2AD6"/>
    <w:rsid w:val="00C10D95"/>
    <w:rsid w:val="00C1464A"/>
    <w:rsid w:val="00C64115"/>
    <w:rsid w:val="00CE33C4"/>
    <w:rsid w:val="00D728E0"/>
    <w:rsid w:val="00D905B0"/>
    <w:rsid w:val="00F17ED7"/>
    <w:rsid w:val="00FA716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81"/>
    <w:pPr>
      <w:suppressAutoHyphens/>
      <w:spacing w:line="100" w:lineRule="atLeast"/>
    </w:pPr>
    <w:rPr>
      <w:rFonts w:ascii="Calibri" w:eastAsia="Arial Unicode MS"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1">
    <w:name w:val="Absatz-Standardschriftart1"/>
    <w:rsid w:val="009B4981"/>
  </w:style>
  <w:style w:type="character" w:styleId="Lienhypertexte">
    <w:name w:val="Hyperlink"/>
    <w:basedOn w:val="Absatz-Standardschriftart1"/>
    <w:rsid w:val="009B4981"/>
    <w:rPr>
      <w:color w:val="0000FF"/>
      <w:u w:val="single"/>
    </w:rPr>
  </w:style>
  <w:style w:type="character" w:customStyle="1" w:styleId="KopfzeileZchn">
    <w:name w:val="Kopfzeile Zchn"/>
    <w:basedOn w:val="Absatz-Standardschriftart1"/>
    <w:rsid w:val="009B4981"/>
    <w:rPr>
      <w:rFonts w:ascii="Calibri" w:hAnsi="Calibri" w:cs="Calibri"/>
    </w:rPr>
  </w:style>
  <w:style w:type="character" w:customStyle="1" w:styleId="FuzeileZchn">
    <w:name w:val="Fußzeile Zchn"/>
    <w:basedOn w:val="Absatz-Standardschriftart1"/>
    <w:uiPriority w:val="99"/>
    <w:rsid w:val="009B4981"/>
    <w:rPr>
      <w:rFonts w:ascii="Calibri" w:hAnsi="Calibri" w:cs="Calibri"/>
    </w:rPr>
  </w:style>
  <w:style w:type="character" w:customStyle="1" w:styleId="NichtaufgelsteErwhnung1">
    <w:name w:val="Nicht aufgelöste Erwähnung1"/>
    <w:basedOn w:val="Absatz-Standardschriftart1"/>
    <w:rsid w:val="009B4981"/>
    <w:rPr>
      <w:color w:val="605E5C"/>
    </w:rPr>
  </w:style>
  <w:style w:type="character" w:customStyle="1" w:styleId="Aufzhlungszeichen1">
    <w:name w:val="Aufzählungszeichen1"/>
    <w:rsid w:val="009B4981"/>
    <w:rPr>
      <w:rFonts w:ascii="OpenSymbol" w:eastAsia="OpenSymbol" w:hAnsi="OpenSymbol" w:cs="OpenSymbol"/>
    </w:rPr>
  </w:style>
  <w:style w:type="paragraph" w:customStyle="1" w:styleId="berschrift">
    <w:name w:val="Überschrift"/>
    <w:basedOn w:val="Normal"/>
    <w:next w:val="Corpsdetexte"/>
    <w:rsid w:val="009B4981"/>
    <w:pPr>
      <w:keepNext/>
      <w:spacing w:before="240" w:after="120"/>
    </w:pPr>
    <w:rPr>
      <w:rFonts w:ascii="Arial" w:hAnsi="Arial" w:cs="Arial Unicode MS"/>
      <w:sz w:val="28"/>
      <w:szCs w:val="28"/>
    </w:rPr>
  </w:style>
  <w:style w:type="paragraph" w:styleId="Corpsdetexte">
    <w:name w:val="Body Text"/>
    <w:basedOn w:val="Normal"/>
    <w:rsid w:val="009B4981"/>
    <w:pPr>
      <w:spacing w:after="120"/>
    </w:pPr>
  </w:style>
  <w:style w:type="paragraph" w:styleId="Liste">
    <w:name w:val="List"/>
    <w:basedOn w:val="Corpsdetexte"/>
    <w:rsid w:val="009B4981"/>
  </w:style>
  <w:style w:type="paragraph" w:customStyle="1" w:styleId="Beschriftung1">
    <w:name w:val="Beschriftung1"/>
    <w:basedOn w:val="Normal"/>
    <w:rsid w:val="009B4981"/>
    <w:pPr>
      <w:suppressLineNumbers/>
      <w:spacing w:before="120" w:after="120"/>
    </w:pPr>
    <w:rPr>
      <w:i/>
      <w:iCs/>
      <w:sz w:val="24"/>
      <w:szCs w:val="24"/>
    </w:rPr>
  </w:style>
  <w:style w:type="paragraph" w:customStyle="1" w:styleId="Verzeichnis">
    <w:name w:val="Verzeichnis"/>
    <w:basedOn w:val="Normal"/>
    <w:rsid w:val="009B4981"/>
    <w:pPr>
      <w:suppressLineNumbers/>
    </w:pPr>
  </w:style>
  <w:style w:type="paragraph" w:styleId="En-tte">
    <w:name w:val="header"/>
    <w:basedOn w:val="Normal"/>
    <w:rsid w:val="009B4981"/>
    <w:pPr>
      <w:suppressLineNumbers/>
      <w:tabs>
        <w:tab w:val="center" w:pos="4536"/>
        <w:tab w:val="right" w:pos="9072"/>
      </w:tabs>
    </w:pPr>
  </w:style>
  <w:style w:type="paragraph" w:styleId="Pieddepage">
    <w:name w:val="footer"/>
    <w:basedOn w:val="Normal"/>
    <w:uiPriority w:val="99"/>
    <w:rsid w:val="009B4981"/>
    <w:pPr>
      <w:suppressLineNumbers/>
      <w:tabs>
        <w:tab w:val="center" w:pos="4536"/>
        <w:tab w:val="right" w:pos="9072"/>
      </w:tabs>
    </w:pPr>
  </w:style>
  <w:style w:type="paragraph" w:customStyle="1" w:styleId="StandardWeb1">
    <w:name w:val="Standard (Web)1"/>
    <w:basedOn w:val="Normal"/>
    <w:rsid w:val="009B4981"/>
    <w:pPr>
      <w:spacing w:before="100" w:after="100"/>
    </w:pPr>
    <w:rPr>
      <w:rFonts w:ascii="Times New Roman" w:eastAsia="Times New Roman" w:hAnsi="Times New Roman" w:cs="Times New Roman"/>
      <w:sz w:val="24"/>
      <w:szCs w:val="24"/>
    </w:rPr>
  </w:style>
  <w:style w:type="paragraph" w:customStyle="1" w:styleId="berarbeitung1">
    <w:name w:val="Überarbeitung1"/>
    <w:rsid w:val="009B4981"/>
    <w:pPr>
      <w:suppressAutoHyphens/>
      <w:spacing w:line="100" w:lineRule="atLeast"/>
    </w:pPr>
    <w:rPr>
      <w:rFonts w:ascii="Calibri" w:eastAsia="Arial Unicode MS" w:hAnsi="Calibri" w:cs="Calibri"/>
      <w:sz w:val="22"/>
      <w:szCs w:val="22"/>
      <w:lang w:eastAsia="ar-SA"/>
    </w:rPr>
  </w:style>
  <w:style w:type="character" w:customStyle="1" w:styleId="UnresolvedMention">
    <w:name w:val="Unresolved Mention"/>
    <w:basedOn w:val="Policepardfaut"/>
    <w:uiPriority w:val="99"/>
    <w:semiHidden/>
    <w:unhideWhenUsed/>
    <w:rsid w:val="00554C8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vese.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se.ch/minrl" TargetMode="External"/><Relationship Id="rId12" Type="http://schemas.openxmlformats.org/officeDocument/2006/relationships/hyperlink" Target="mailto:redaktion@sses.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79388266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alter.sachs@vese.ch" TargetMode="External"/><Relationship Id="rId4" Type="http://schemas.openxmlformats.org/officeDocument/2006/relationships/webSettings" Target="webSettings.xml"/><Relationship Id="rId9" Type="http://schemas.openxmlformats.org/officeDocument/2006/relationships/hyperlink" Target="tel:076528093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2022-04-04T20:24:00Z</dcterms:created>
  <dcterms:modified xsi:type="dcterms:W3CDTF">2022-04-04T21:09:00Z</dcterms:modified>
</cp:coreProperties>
</file>