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48"/>
          <w:szCs w:val="48"/>
        </w:rPr>
      </w:pPr>
      <w:r>
        <w:rPr>
          <w:sz w:val="48"/>
          <w:szCs w:val="48"/>
        </w:rPr>
      </w:r>
    </w:p>
    <w:p>
      <w:pPr>
        <w:pStyle w:val="Untertitel2"/>
        <w:rPr/>
      </w:pPr>
      <w:r>
        <w:rPr/>
        <w:t>Medienmitteilung / 17. Juli 2025</w:t>
      </w:r>
    </w:p>
    <w:p>
      <w:pPr>
        <w:pStyle w:val="Title"/>
        <w:rPr/>
      </w:pPr>
      <w:r>
        <w:rPr/>
        <w:t>VESE-Whitepaper zeigt: Verteilnetzbetreiber haben grossen Spielraum bei PV-Vergütungen ab 2026</w:t>
      </w:r>
    </w:p>
    <w:p>
      <w:pPr>
        <w:pStyle w:val="BodyText"/>
        <w:rPr/>
      </w:pPr>
      <w:r>
        <w:rPr/>
      </w:r>
    </w:p>
    <w:p>
      <w:pPr>
        <w:pStyle w:val="Subtitle"/>
        <w:rPr/>
      </w:pPr>
      <w:r>
        <w:rPr/>
        <w:t>Neues Gesetz ermöglicht faire Preise über dem Marktpreis – Entscheidend für Energiestrategie und Versorgungssicherheit</w:t>
      </w:r>
    </w:p>
    <w:p>
      <w:pPr>
        <w:pStyle w:val="BodyText"/>
        <w:rPr/>
      </w:pPr>
      <w:r>
        <w:rPr/>
        <w:t xml:space="preserve">Der Verband unabhängiger Energieerzeuger (VESE) hat ein </w:t>
      </w:r>
      <w:hyperlink r:id="rId2">
        <w:r>
          <w:rPr>
            <w:rStyle w:val="Hyperlink"/>
          </w:rPr>
          <w:t>Whitepaper</w:t>
        </w:r>
      </w:hyperlink>
      <w:r>
        <w:rPr/>
        <w:t xml:space="preserve"> zu den Abnahmevergütungen für Photovoltaik-Strom ab 2026 veröffentlicht. Das Papier zeigt auf, dass Verteilnetzbetreiber (VNB) weiterhin grossen Handlungsspielraum bei der Vergütung haben und keineswegs verpflichtet sind, bloss den Spotmarktpreis zu vergüten.</w:t>
      </w:r>
    </w:p>
    <w:p>
      <w:pPr>
        <w:pStyle w:val="BodyText"/>
        <w:rPr/>
      </w:pPr>
      <w:r>
        <w:rPr/>
      </w:r>
    </w:p>
    <w:p>
      <w:pPr>
        <w:pStyle w:val="Untertitel2"/>
        <w:rPr/>
      </w:pPr>
      <w:r>
        <w:rPr/>
        <w:t>Gesetzliche Grundlage schafft Flexibilität</w:t>
      </w:r>
    </w:p>
    <w:p>
      <w:pPr>
        <w:pStyle w:val="BodyText"/>
        <w:rPr/>
      </w:pPr>
      <w:r>
        <w:rPr/>
        <w:t>Gemäss Artikel 15 des Energiegesetzes (EnG) sind VNB zur Abnahme und Vergütung von PV-Strom verpflichtet. Der vom BFE publizierte harmonisierte Marktpreis, welcher den Spotpreis abbildet, ist lediglich ein Minimum und greift als Rückfallebene, wenn sich VNB und Produzent nicht einigen können. "Das Gesetz zwingt die Netzbetreiber nicht zur Anwendung des Mindestpreises", betont VESE. "Es ist möglich und sinnvoll, stabile, kostendeckende Preise zu bezahlen."</w:t>
      </w:r>
    </w:p>
    <w:p>
      <w:pPr>
        <w:pStyle w:val="BodyText"/>
        <w:rPr/>
      </w:pPr>
      <w:r>
        <w:rPr/>
      </w:r>
    </w:p>
    <w:p>
      <w:pPr>
        <w:pStyle w:val="Untertitel2"/>
        <w:rPr/>
      </w:pPr>
      <w:r>
        <w:rPr/>
        <w:t>Anrechenbare Kosten klar geregelt</w:t>
      </w:r>
    </w:p>
    <w:p>
      <w:pPr>
        <w:pStyle w:val="BodyText"/>
        <w:rPr/>
      </w:pPr>
      <w:r>
        <w:rPr/>
        <w:t>Die in die Grundversorgungstarife einrechenbaren Kosten sind in der Stromversorgungs-Verordnung (StromVV) geregelt:</w:t>
      </w:r>
    </w:p>
    <w:p>
      <w:pPr>
        <w:pStyle w:val="ListBullet"/>
        <w:numPr>
          <w:ilvl w:val="0"/>
          <w:numId w:val="2"/>
        </w:numPr>
        <w:ind w:hanging="0" w:left="0"/>
        <w:rPr/>
      </w:pPr>
      <w:r>
        <w:rPr>
          <w:b/>
          <w:bCs/>
        </w:rPr>
        <w:t>Mit Herkunftsnachweis (HKN):</w:t>
      </w:r>
      <w:r>
        <w:rPr/>
        <w:t xml:space="preserve"> Maximal die Gestehungskosten abzüglich Fördergelder</w:t>
      </w:r>
    </w:p>
    <w:p>
      <w:pPr>
        <w:pStyle w:val="ListBullet"/>
        <w:numPr>
          <w:ilvl w:val="0"/>
          <w:numId w:val="2"/>
        </w:numPr>
        <w:ind w:hanging="0" w:left="0"/>
        <w:rPr/>
      </w:pPr>
      <w:r>
        <w:rPr>
          <w:b/>
          <w:bCs/>
        </w:rPr>
        <w:t>Ohne HKN:</w:t>
      </w:r>
      <w:r>
        <w:rPr/>
        <w:t xml:space="preserve"> Maximal der harmonisierte Marktpreis oder die Minimalvergütung</w:t>
      </w:r>
    </w:p>
    <w:p>
      <w:pPr>
        <w:pStyle w:val="BodyText"/>
        <w:rPr/>
      </w:pPr>
      <w:r>
        <w:rPr/>
        <w:t>Bei Abnahme mit HKN liegt die maximale Vergütung für PV-Anlagen ab Inbetriebnahme 2017 und bis 100 kW bei 10.96 Rp/kWh (mit Eigenverbrauch) bzw. 8.22 Rp/kWh (ohne Eigenverbrauch). Für grössere und/oder ältere Anlagen gelten gestaffelte Sätze zwischen 5.4 und 14.8 Rp/kWh. Die genauen, anrechenbaren Kosten zeigt das Whitepaper auf Seite 4. Wichtig zu wissen: Gemäss Auskunft des BFE gelten diese maximal anrechenbaren Kosten im Jahresmittel.</w:t>
      </w:r>
    </w:p>
    <w:p>
      <w:pPr>
        <w:pStyle w:val="BodyText"/>
        <w:rPr/>
      </w:pPr>
      <w:r>
        <w:rPr/>
      </w:r>
    </w:p>
    <w:p>
      <w:pPr>
        <w:pStyle w:val="Untertitel2"/>
        <w:rPr/>
      </w:pPr>
      <w:r>
        <w:rPr/>
        <w:t>Weitere Optionen für Verteilnetzbetreiber</w:t>
      </w:r>
    </w:p>
    <w:p>
      <w:pPr>
        <w:pStyle w:val="BodyText"/>
        <w:rPr/>
      </w:pPr>
      <w:r>
        <w:rPr/>
        <w:t>Verteilnetzbetreiber haben verschiedene, weitere Möglichkeiten, erneuerbaren Strom zu vergüten sowie dessen Absatz zu sichern:</w:t>
      </w:r>
    </w:p>
    <w:p>
      <w:pPr>
        <w:pStyle w:val="ListBullet"/>
        <w:numPr>
          <w:ilvl w:val="0"/>
          <w:numId w:val="2"/>
        </w:numPr>
        <w:ind w:hanging="0" w:left="0"/>
        <w:rPr/>
      </w:pPr>
      <w:r>
        <w:rPr/>
        <w:t>Freiwillige Preisvereinbarungen mit Produzenten</w:t>
      </w:r>
    </w:p>
    <w:p>
      <w:pPr>
        <w:pStyle w:val="ListBullet"/>
        <w:numPr>
          <w:ilvl w:val="0"/>
          <w:numId w:val="2"/>
        </w:numPr>
        <w:ind w:hanging="0" w:left="0"/>
        <w:rPr/>
      </w:pPr>
      <w:r>
        <w:rPr/>
        <w:t>Standardisierte Angebote</w:t>
      </w:r>
    </w:p>
    <w:p>
      <w:pPr>
        <w:pStyle w:val="ListBullet"/>
        <w:numPr>
          <w:ilvl w:val="0"/>
          <w:numId w:val="2"/>
        </w:numPr>
        <w:ind w:hanging="0" w:left="0"/>
        <w:rPr/>
      </w:pPr>
      <w:r>
        <w:rPr/>
        <w:t>Power Purchase Agreements (PPA) für mehrjährige Verträge</w:t>
      </w:r>
    </w:p>
    <w:p>
      <w:pPr>
        <w:pStyle w:val="ListBullet"/>
        <w:numPr>
          <w:ilvl w:val="0"/>
          <w:numId w:val="2"/>
        </w:numPr>
        <w:ind w:hanging="0" w:left="0"/>
        <w:rPr/>
      </w:pPr>
      <w:r>
        <w:rPr/>
        <w:t>Anpassung der Niedertarifzeiten</w:t>
      </w:r>
    </w:p>
    <w:p>
      <w:pPr>
        <w:pStyle w:val="ListBullet"/>
        <w:numPr>
          <w:ilvl w:val="0"/>
          <w:numId w:val="2"/>
        </w:numPr>
        <w:ind w:hanging="0" w:left="0"/>
        <w:rPr/>
      </w:pPr>
      <w:r>
        <w:rPr/>
        <w:t>Investitionen in Quartierspeicher</w:t>
      </w:r>
    </w:p>
    <w:p>
      <w:pPr>
        <w:pStyle w:val="BodyText"/>
        <w:rPr/>
      </w:pPr>
      <w:r>
        <w:rPr/>
      </w:r>
    </w:p>
    <w:p>
      <w:pPr>
        <w:pStyle w:val="Untertitel2"/>
        <w:rPr/>
      </w:pPr>
      <w:r>
        <w:rPr/>
        <w:t>Kritik am Marktpreis-Modell</w:t>
      </w:r>
    </w:p>
    <w:p>
      <w:pPr>
        <w:pStyle w:val="BodyText"/>
        <w:rPr/>
      </w:pPr>
      <w:r>
        <w:rPr/>
        <w:t>VESE kritisiert das aktuelle Marktpreis-Modell als "äusserst unfair". Der Preis werde massgeblich durch europäische Märkte bestimmt, der die Situation in der Schweiz nicht abbilde. "Schweizer PV-Produzenten anhand europäischer Marktpreise zu vergüten, widerspricht der Schweizer Energiestrategie", so VESE.</w:t>
      </w:r>
    </w:p>
    <w:p>
      <w:pPr>
        <w:pStyle w:val="BodyText"/>
        <w:rPr/>
      </w:pPr>
      <w:r>
        <w:rPr/>
      </w:r>
    </w:p>
    <w:p>
      <w:pPr>
        <w:pStyle w:val="Untertitel2"/>
        <w:rPr/>
      </w:pPr>
      <w:r>
        <w:rPr/>
        <w:t>Aufruf zu fairen Vergütungen</w:t>
      </w:r>
    </w:p>
    <w:p>
      <w:pPr>
        <w:pStyle w:val="BodyText"/>
        <w:rPr/>
      </w:pPr>
      <w:r>
        <w:rPr/>
        <w:t>VESE sieht es als zentrale Aufgabe der Verteilnetzbetreiber, ihren Spielraum zu nutzen und unabhängigen Produzenten mindestens kostendeckende, stabile Vergütungen zu gewährleisten. Ein fairer Preis von etwa 10 Rp/kWh habe kaum spürbare Auswirkungen auf die Endverbraucherkosten, gewährleiste aber eine sichere, erneuerbare und einheimische Stromversorgung.</w:t>
      </w:r>
    </w:p>
    <w:p>
      <w:pPr>
        <w:pStyle w:val="BodyText"/>
        <w:rPr/>
      </w:pPr>
      <w:r>
        <w:rPr/>
      </w:r>
    </w:p>
    <w:p>
      <w:pPr>
        <w:pStyle w:val="BodyText"/>
        <w:rPr/>
      </w:pPr>
      <w:r>
        <w:rPr/>
        <w:t>"Eine faire Vergütung trägt zur Umsetzung der Energiestrategie, zur Erreichung der Klimaziele und zur Sicherung der Energieversorgung in Krisenzeiten bei", erklärt VESE. Unzureichende Vergütungen würden diese Entwicklung behindern und bestehende sowie künftige Investitionen gefährden.</w:t>
      </w:r>
    </w:p>
    <w:p>
      <w:pPr>
        <w:pStyle w:val="BodyText"/>
        <w:rPr/>
      </w:pPr>
      <w:r>
        <w:rPr/>
      </w:r>
    </w:p>
    <w:p>
      <w:pPr>
        <w:pStyle w:val="Untertitel2"/>
        <w:rPr/>
      </w:pPr>
      <w:r>
        <w:rPr/>
        <w:t>Rolle der öffentlichen Hand</w:t>
      </w:r>
    </w:p>
    <w:p>
      <w:pPr>
        <w:pStyle w:val="BodyText"/>
        <w:rPr/>
      </w:pPr>
      <w:r>
        <w:rPr/>
        <w:t>Da die meisten Verteilnetzbetreiber im Besitz der öffentlichen Hand stehen, sollte eine Förderung der erneuerbaren Stromproduktion innerhalb der Schweiz selbstverständlich sein. "Es kann nicht das Ziel sein, nur den günstigsten Strom einzukaufen, ohne Herkunft und Produktionsweise zu berücksichtigen", so VESE.</w:t>
      </w:r>
    </w:p>
    <w:p>
      <w:pPr>
        <w:pStyle w:val="BodyText"/>
        <w:rPr/>
      </w:pPr>
      <w:r>
        <w:rPr/>
      </w:r>
    </w:p>
    <w:p>
      <w:pPr>
        <w:pStyle w:val="Untertitel2"/>
        <w:rPr/>
      </w:pPr>
      <w:r>
        <w:rPr/>
        <w:t>Download des Whitepapers</w:t>
      </w:r>
    </w:p>
    <w:p>
      <w:pPr>
        <w:pStyle w:val="BodyText"/>
        <w:rPr/>
      </w:pPr>
      <w:hyperlink r:id="rId3">
        <w:r>
          <w:rPr>
            <w:rStyle w:val="Hyperlink"/>
          </w:rPr>
          <w:t>www.vese.ch/wp-content/uploads/VESE_Whitepaper_Abnahmeverguetungen_ab_2026-was_ist_in_die_Grundversorgung_anrechenbar.pdf</w:t>
        </w:r>
      </w:hyperlink>
    </w:p>
    <w:p>
      <w:pPr>
        <w:pStyle w:val="BodyText"/>
        <w:rPr/>
      </w:pPr>
      <w:r>
        <w:rPr/>
      </w:r>
    </w:p>
    <w:p>
      <w:pPr>
        <w:pStyle w:val="Untertitel2"/>
        <w:rPr/>
      </w:pPr>
      <w:r>
        <w:rPr/>
        <w:t>Kontakt:</w:t>
      </w:r>
    </w:p>
    <w:p>
      <w:pPr>
        <w:pStyle w:val="BodyText"/>
        <w:rPr>
          <w:sz w:val="20"/>
          <w:szCs w:val="20"/>
        </w:rPr>
      </w:pPr>
      <w:r>
        <w:rPr>
          <w:sz w:val="20"/>
          <w:szCs w:val="20"/>
        </w:rPr>
        <w:t>Walter Sachs, Präsident VESE, 076 528 09 36, walter.sachs@vese.ch</w:t>
      </w:r>
    </w:p>
    <w:p>
      <w:pPr>
        <w:pStyle w:val="BodyText"/>
        <w:rPr>
          <w:sz w:val="20"/>
          <w:szCs w:val="20"/>
        </w:rPr>
      </w:pPr>
      <w:r>
        <w:rPr>
          <w:sz w:val="20"/>
          <w:szCs w:val="20"/>
        </w:rPr>
        <w:t>Diego Fischer, Vorstandsmitglied VESE, Projektleiter pvtarif.ch, 077 466 86 26, diego.fischer@vese.ch</w:t>
      </w:r>
    </w:p>
    <w:p>
      <w:pPr>
        <w:pStyle w:val="BodyText"/>
        <w:rPr/>
      </w:pPr>
      <w:r>
        <w:rPr/>
      </w:r>
    </w:p>
    <w:p>
      <w:pPr>
        <w:pStyle w:val="Untertitel2"/>
        <w:rPr/>
      </w:pPr>
      <w:r>
        <w:rPr/>
        <w:t>Über den Verband unabhängiger Energieerzeuger VESE</w:t>
      </w:r>
    </w:p>
    <w:p>
      <w:pPr>
        <w:pStyle w:val="BodyText"/>
        <w:suppressAutoHyphens w:val="false"/>
        <w:spacing w:lineRule="atLeast" w:line="125" w:before="0" w:after="119"/>
        <w:jc w:val="both"/>
        <w:rPr/>
      </w:pPr>
      <w:r>
        <w:rPr/>
        <w:t>VESE, eine Fachgruppe der Schweizerischen Vereinigung für Sonnenenergie SSES, ist der Verband der unabhängigen Energieerzeuger und vertritt die Interessenten von Betreibern von Anlagen zur Erzeugung von erneuerbarer Elektrizität ohne eigenes Verteilnetz. VESE setzt sich ein für eine Energiewende mit möglichst vielen Anlagen in Bürgerhand.</w:t>
      </w:r>
    </w:p>
    <w:sectPr>
      <w:headerReference w:type="default" r:id="rId4"/>
      <w:headerReference w:type="first" r:id="rId5"/>
      <w:footerReference w:type="default" r:id="rId6"/>
      <w:footerReference w:type="first" r:id="rId7"/>
      <w:type w:val="nextPage"/>
      <w:pgSz w:w="11906" w:h="16838"/>
      <w:pgMar w:left="1134" w:right="1134" w:gutter="0" w:header="850" w:top="1190" w:footer="1134" w:bottom="1717"/>
      <w:pgNumType w:fmt="decimal"/>
      <w:formProt w:val="false"/>
      <w:titlePg/>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 Sans">
    <w:charset w:val="01"/>
    <w:family w:val="swiss"/>
    <w:pitch w:val="variable"/>
  </w:font>
  <w:font w:name="OpenSymbol">
    <w:altName w:val="Arial Unicode MS"/>
    <w:charset w:val="02"/>
    <w:family w:val="auto"/>
    <w:pitch w:val="default"/>
  </w:font>
  <w:font w:name="Liberation Mono">
    <w:altName w:val="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bookmarkStart w:id="1" w:name="PageNumWizard_FOOTER_Standard7_Kopie_12_"/>
    <w:r>
      <w:rPr/>
      <w:drawing>
        <wp:anchor behindDoc="0" distT="0" distB="0" distL="0" distR="0" simplePos="0" locked="0" layoutInCell="0" allowOverlap="1" relativeHeight="3">
          <wp:simplePos x="0" y="0"/>
          <wp:positionH relativeFrom="column">
            <wp:posOffset>5546090</wp:posOffset>
          </wp:positionH>
          <wp:positionV relativeFrom="paragraph">
            <wp:posOffset>635</wp:posOffset>
          </wp:positionV>
          <wp:extent cx="548005" cy="296545"/>
          <wp:effectExtent l="0" t="0" r="0" b="0"/>
          <wp:wrapSquare wrapText="largest"/>
          <wp:docPr id="3" name="Bild1 Kopi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Kopie 1" descr=""/>
                  <pic:cNvPicPr>
                    <a:picLocks noChangeAspect="1" noChangeArrowheads="1"/>
                  </pic:cNvPicPr>
                </pic:nvPicPr>
                <pic:blipFill>
                  <a:blip r:embed="rId1"/>
                  <a:stretch>
                    <a:fillRect/>
                  </a:stretch>
                </pic:blipFill>
                <pic:spPr bwMode="auto">
                  <a:xfrm>
                    <a:off x="0" y="0"/>
                    <a:ext cx="548005" cy="296545"/>
                  </a:xfrm>
                  <a:prstGeom prst="rect">
                    <a:avLst/>
                  </a:prstGeom>
                  <a:noFill/>
                </pic:spPr>
              </pic:pic>
            </a:graphicData>
          </a:graphic>
        </wp:anchor>
      </w:drawing>
      <w:fldChar w:fldCharType="begin"/>
    </w:r>
    <w:r>
      <w:rPr/>
      <w:instrText xml:space="preserve"> PAGE </w:instrText>
    </w:r>
    <w:r>
      <w:rPr/>
      <w:fldChar w:fldCharType="separate"/>
    </w:r>
    <w:r>
      <w:rPr/>
      <w:t>3</w:t>
    </w:r>
    <w:r>
      <w:rPr/>
      <w:fldChar w:fldCharType="end"/>
    </w:r>
    <w:bookmarkEnd w:id="1"/>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bookmarkStart w:id="2" w:name="PageNumWizard_FOOTER_Standard7_Kopie_121"/>
    <w:r>
      <w:rPr/>
      <w:fldChar w:fldCharType="begin"/>
    </w:r>
    <w:r>
      <w:rPr/>
      <w:instrText xml:space="preserve"> PAGE </w:instrText>
    </w:r>
    <w:r>
      <w:rPr/>
      <w:fldChar w:fldCharType="separate"/>
    </w:r>
    <w:r>
      <w:rPr/>
      <w:t>1</w:t>
    </w:r>
    <w:r>
      <w:rPr/>
      <w:fldChar w:fldCharType="end"/>
    </w:r>
    <w:bookmarkEnd w:id="2"/>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center" w:pos="4819" w:leader="none"/>
        <w:tab w:val="right" w:pos="9638" w:leader="none"/>
      </w:tabs>
      <w:bidi w:val="0"/>
      <w:spacing w:lineRule="auto" w:line="360" w:before="0" w:after="0"/>
      <w:ind w:hanging="0" w:left="0" w:right="0"/>
      <w:jc w:val="left"/>
      <w:rPr>
        <w:rFonts w:ascii="Open Sans" w:hAnsi="Open Sans"/>
      </w:rPr>
    </w:pPr>
    <w:bookmarkStart w:id="0" w:name="docs-internal-guid-75c6190c-7fff-91f9-86"/>
    <w:bookmarkEnd w:id="0"/>
    <w:r>
      <w:drawing>
        <wp:anchor behindDoc="0" distT="0" distB="0" distL="0" distR="0" simplePos="0" locked="0" layoutInCell="0" allowOverlap="1" relativeHeight="4">
          <wp:simplePos x="0" y="0"/>
          <wp:positionH relativeFrom="column">
            <wp:posOffset>5132070</wp:posOffset>
          </wp:positionH>
          <wp:positionV relativeFrom="paragraph">
            <wp:posOffset>-71755</wp:posOffset>
          </wp:positionV>
          <wp:extent cx="1438275" cy="495300"/>
          <wp:effectExtent l="0" t="0" r="0" b="0"/>
          <wp:wrapSquare wrapText="largest"/>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1"/>
                  <a:stretch>
                    <a:fillRect/>
                  </a:stretch>
                </pic:blipFill>
                <pic:spPr bwMode="auto">
                  <a:xfrm>
                    <a:off x="0" y="0"/>
                    <a:ext cx="1438275" cy="495300"/>
                  </a:xfrm>
                  <a:prstGeom prst="rect">
                    <a:avLst/>
                  </a:prstGeom>
                  <a:noFill/>
                </pic:spPr>
              </pic:pic>
            </a:graphicData>
          </a:graphic>
        </wp:anchor>
      </w:drawing>
      <mc:AlternateContent>
        <mc:Choice Requires="wps">
          <w:drawing>
            <wp:anchor behindDoc="0" distT="0" distB="0" distL="0" distR="0" simplePos="0" locked="0" layoutInCell="1" allowOverlap="1" relativeHeight="5">
              <wp:simplePos x="0" y="0"/>
              <wp:positionH relativeFrom="column">
                <wp:posOffset>-38735</wp:posOffset>
              </wp:positionH>
              <wp:positionV relativeFrom="paragraph">
                <wp:posOffset>-123190</wp:posOffset>
              </wp:positionV>
              <wp:extent cx="6520815" cy="1064895"/>
              <wp:effectExtent l="0" t="0" r="0" b="0"/>
              <wp:wrapNone/>
              <wp:docPr id="2" name="Textrahmen 1"/>
              <a:graphic xmlns:a="http://schemas.openxmlformats.org/drawingml/2006/main">
                <a:graphicData uri="http://schemas.microsoft.com/office/word/2010/wordprocessingShape">
                  <wps:wsp>
                    <wps:cNvSpPr txBox="1"/>
                    <wps:spPr>
                      <a:xfrm>
                        <a:off x="0" y="0"/>
                        <a:ext cx="6520680" cy="1064880"/>
                      </a:xfrm>
                      <a:prstGeom prst="rect">
                        <a:avLst/>
                      </a:prstGeom>
                      <a:noFill/>
                      <a:ln w="0">
                        <a:noFill/>
                      </a:ln>
                    </wps:spPr>
                    <wps:txbx>
                      <w:txbxContent>
                        <w:p>
                          <w:pPr>
                            <w:spacing w:before="0" w:after="0" w:lineRule="auto" w:line="360"/>
                            <w:jc w:val="left"/>
                            <w:rPr/>
                          </w:pPr>
                          <w:r>
                            <w:rPr>
                              <w:sz w:val="22"/>
                              <w:szCs w:val="48"/>
                              <w:rFonts w:ascii="Open Sans" w:hAnsi="Open Sans" w:eastAsia="Open Sans" w:cs="Open Sans"/>
                              <w:color w:val="004669"/>
                            </w:rPr>
                            <w:t>VESE - Verband unabhängiger Energieerzeuger, eine Fachgruppe der SSES</w:t>
                          </w:r>
                          <w:r>
                            <w:rPr>
                              <w:sz w:val="22"/>
                              <w:szCs w:val="48"/>
                              <w:rFonts w:ascii="Open Sans" w:hAnsi="Open Sans" w:eastAsia="Open Sans" w:cs="Open Sans"/>
                              <w:color w:val="004669"/>
                            </w:rPr>
                            <w:br/>
                          </w:r>
                          <w:r>
                            <w:rPr>
                              <w:sz w:val="19"/>
                              <w:szCs w:val="19"/>
                              <w:rFonts w:ascii="Open Sans" w:hAnsi="Open Sans" w:eastAsia="Open Sans" w:cs="Open Sans"/>
                              <w:color w:val="004669"/>
                            </w:rPr>
                            <w:t xml:space="preserve">Aarbergergasse 21, 3011 Bern, www.vese.ch, Tel. 031 371 80 00, E-Mail </w:t>
                          </w:r>
                          <w:r>
                            <w:rPr>
                              <w:sz w:val="19"/>
                              <w:szCs w:val="19"/>
                              <w:u w:val="single"/>
                              <w:rFonts w:ascii="Open Sans" w:hAnsi="Open Sans" w:eastAsia="Open Sans" w:cs="Open Sans"/>
                              <w:color w:val="004669"/>
                            </w:rPr>
                            <w:t>info@vese.ch</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rahmen 1" stroked="f" o:allowincell="f" style="position:absolute;margin-left:-3.05pt;margin-top:-9.7pt;width:513.4pt;height:83.8pt;mso-wrap-style:square;v-text-anchor:top" type="_x0000_t202">
              <v:textbox>
                <w:txbxContent>
                  <w:p>
                    <w:pPr>
                      <w:spacing w:before="0" w:after="0" w:lineRule="auto" w:line="360"/>
                      <w:jc w:val="left"/>
                      <w:rPr/>
                    </w:pPr>
                    <w:r>
                      <w:rPr>
                        <w:sz w:val="22"/>
                        <w:szCs w:val="48"/>
                        <w:rFonts w:ascii="Open Sans" w:hAnsi="Open Sans" w:eastAsia="Open Sans" w:cs="Open Sans"/>
                        <w:color w:val="004669"/>
                      </w:rPr>
                      <w:t>VESE - Verband unabhängiger Energieerzeuger, eine Fachgruppe der SSES</w:t>
                    </w:r>
                    <w:r>
                      <w:rPr>
                        <w:sz w:val="22"/>
                        <w:szCs w:val="48"/>
                        <w:rFonts w:ascii="Open Sans" w:hAnsi="Open Sans" w:eastAsia="Open Sans" w:cs="Open Sans"/>
                        <w:color w:val="004669"/>
                      </w:rPr>
                      <w:br/>
                    </w:r>
                    <w:r>
                      <w:rPr>
                        <w:sz w:val="19"/>
                        <w:szCs w:val="19"/>
                        <w:rFonts w:ascii="Open Sans" w:hAnsi="Open Sans" w:eastAsia="Open Sans" w:cs="Open Sans"/>
                        <w:color w:val="004669"/>
                      </w:rPr>
                      <w:t xml:space="preserve">Aarbergergasse 21, 3011 Bern, www.vese.ch, Tel. 031 371 80 00, E-Mail </w:t>
                    </w:r>
                    <w:r>
                      <w:rPr>
                        <w:sz w:val="19"/>
                        <w:szCs w:val="19"/>
                        <w:u w:val="single"/>
                        <w:rFonts w:ascii="Open Sans" w:hAnsi="Open Sans" w:eastAsia="Open Sans" w:cs="Open Sans"/>
                        <w:color w:val="004669"/>
                      </w:rPr>
                      <w:t>info@vese.ch</w:t>
                    </w:r>
                  </w:p>
                </w:txbxContent>
              </v:textbox>
              <v:fill o:detectmouseclick="t" on="false"/>
              <v:stroke color="black" joinstyle="round" endcap="flat"/>
              <w10:wrap type="none"/>
            </v:shape>
          </w:pict>
        </mc:Fallback>
      </mc:AlternateContent>
    </w:r>
    <w:r>
      <w:rPr>
        <w:rFonts w:ascii="Open Sans" w:hAnsi="Open Sans"/>
        <w:b w:val="false"/>
        <w:i w:val="false"/>
        <w:caps w:val="false"/>
        <w:smallCaps w:val="false"/>
        <w:strike w:val="false"/>
        <w:dstrike w:val="false"/>
        <w:color w:val="004669"/>
        <w:sz w:val="22"/>
        <w:u w:val="none"/>
        <w:effect w:val="none"/>
        <w:shd w:fill="auto" w:val="clear"/>
      </w:rPr>
      <w:t>VESE - Verband unabhängiger Energieerzeuger, eine Fachgruppe der SSES</w:t>
      <w:br/>
    </w:r>
    <w:r>
      <w:rPr>
        <w:rFonts w:ascii="Open Sans" w:hAnsi="Open Sans"/>
        <w:b w:val="false"/>
        <w:i w:val="false"/>
        <w:caps w:val="false"/>
        <w:smallCaps w:val="false"/>
        <w:strike w:val="false"/>
        <w:dstrike w:val="false"/>
        <w:color w:val="004669"/>
        <w:sz w:val="19"/>
        <w:szCs w:val="19"/>
        <w:u w:val="none"/>
        <w:effect w:val="none"/>
        <w:shd w:fill="auto" w:val="clear"/>
      </w:rPr>
      <w:t>Aarbergergasse 21, 3011 Bern, www.vese.ch, Tel. 031 371 80 00, E-Mail info@vese.ch</w:t>
    </w:r>
    <w:r>
      <w:rPr>
        <w:rFonts w:ascii="Open Sans" w:hAnsi="Open Sans"/>
        <w:b w:val="false"/>
        <w:i w:val="false"/>
        <w:caps w:val="false"/>
        <w:smallCaps w:val="false"/>
        <w:strike w:val="false"/>
        <w:dstrike w:val="false"/>
        <w:color w:val="004669"/>
        <w:sz w:val="22"/>
        <w:u w:val="none"/>
        <w:effect w:val="none"/>
        <w:shd w:fill="auto" w:val="clea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1."/>
      <w:lvlJc w:val="left"/>
      <w:pPr>
        <w:tabs>
          <w:tab w:val="num" w:pos="0"/>
        </w:tabs>
        <w:ind w:left="0" w:hanging="0"/>
      </w:pPr>
    </w:lvl>
    <w:lvl w:ilvl="1">
      <w:start w:val="1"/>
      <w:pStyle w:val="Heading2"/>
      <w:numFmt w:val="decimal"/>
      <w:lvlText w:val=" %1.%2."/>
      <w:lvlJc w:val="left"/>
      <w:pPr>
        <w:tabs>
          <w:tab w:val="num" w:pos="1077"/>
        </w:tabs>
        <w:ind w:left="0" w:firstLine="454"/>
      </w:pPr>
    </w:lvl>
    <w:lvl w:ilvl="2">
      <w:start w:val="1"/>
      <w:pStyle w:val="Heading3"/>
      <w:numFmt w:val="lowerLetter"/>
      <w:lvlText w:val=" %3)"/>
      <w:lvlJc w:val="left"/>
      <w:pPr>
        <w:tabs>
          <w:tab w:val="num" w:pos="1077"/>
        </w:tabs>
        <w:ind w:left="0" w:firstLine="454"/>
      </w:pPr>
    </w:lvl>
    <w:lvl w:ilvl="3">
      <w:start w:val="1"/>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37"/>
  <w:mirrorMargins/>
  <w:defaultTabStop w:val="709"/>
  <w:autoHyphenation w:val="true"/>
  <w:hyphenationZone w:val="0"/>
  <w:compat>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de-CH"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Open Sans" w:hAnsi="Open Sans" w:eastAsia="Noto Serif CJK SC" w:cs="Noto Sans Devanagari"/>
      <w:color w:val="auto"/>
      <w:kern w:val="2"/>
      <w:sz w:val="22"/>
      <w:szCs w:val="24"/>
      <w:lang w:val="de-CH" w:eastAsia="zh-CN" w:bidi="hi-IN"/>
    </w:rPr>
  </w:style>
  <w:style w:type="paragraph" w:styleId="Heading1">
    <w:name w:val="heading 1"/>
    <w:basedOn w:val="berschrift"/>
    <w:next w:val="BodyText"/>
    <w:qFormat/>
    <w:pPr>
      <w:numPr>
        <w:ilvl w:val="0"/>
        <w:numId w:val="1"/>
      </w:numPr>
      <w:tabs>
        <w:tab w:val="clear" w:pos="709"/>
        <w:tab w:val="left" w:pos="455" w:leader="none"/>
      </w:tabs>
      <w:suppressAutoHyphens w:val="false"/>
      <w:spacing w:before="357" w:after="119"/>
      <w:outlineLvl w:val="0"/>
    </w:pPr>
    <w:rPr>
      <w:b/>
      <w:bCs/>
      <w:sz w:val="24"/>
      <w:szCs w:val="24"/>
    </w:rPr>
  </w:style>
  <w:style w:type="paragraph" w:styleId="Heading2">
    <w:name w:val="heading 2"/>
    <w:basedOn w:val="berschrift"/>
    <w:next w:val="BodyText"/>
    <w:qFormat/>
    <w:pPr>
      <w:keepNext w:val="true"/>
      <w:numPr>
        <w:ilvl w:val="1"/>
        <w:numId w:val="1"/>
      </w:numPr>
      <w:tabs>
        <w:tab w:val="clear" w:pos="709"/>
        <w:tab w:val="left" w:pos="1022" w:leader="none"/>
      </w:tabs>
      <w:spacing w:before="200" w:after="120"/>
      <w:ind w:hanging="0" w:left="454" w:right="0"/>
      <w:outlineLvl w:val="1"/>
    </w:pPr>
    <w:rPr>
      <w:b/>
      <w:bCs/>
      <w:sz w:val="22"/>
      <w:szCs w:val="22"/>
    </w:rPr>
  </w:style>
  <w:style w:type="paragraph" w:styleId="Heading3">
    <w:name w:val="heading 3"/>
    <w:basedOn w:val="berschrift"/>
    <w:next w:val="BodyText"/>
    <w:qFormat/>
    <w:pPr>
      <w:keepNext w:val="true"/>
      <w:numPr>
        <w:ilvl w:val="2"/>
        <w:numId w:val="1"/>
      </w:numPr>
      <w:tabs>
        <w:tab w:val="clear" w:pos="709"/>
        <w:tab w:val="left" w:pos="1078" w:leader="none"/>
      </w:tabs>
      <w:spacing w:before="140" w:after="120"/>
      <w:ind w:hanging="0" w:left="510" w:right="0"/>
      <w:outlineLvl w:val="2"/>
    </w:pPr>
    <w:rPr>
      <w:b/>
      <w:bCs/>
      <w:sz w:val="22"/>
      <w:szCs w:val="22"/>
    </w:rPr>
  </w:style>
  <w:style w:type="paragraph" w:styleId="Heading4">
    <w:name w:val="heading 4"/>
    <w:basedOn w:val="berschrift"/>
    <w:next w:val="BodyText"/>
    <w:qFormat/>
    <w:pPr>
      <w:numPr>
        <w:ilvl w:val="0"/>
        <w:numId w:val="0"/>
      </w:numPr>
      <w:spacing w:before="120" w:after="120"/>
      <w:outlineLvl w:val="3"/>
    </w:pPr>
    <w:rPr>
      <w:rFonts w:ascii="Liberation Serif" w:hAnsi="Liberation Serif" w:eastAsia="Noto Serif CJK SC" w:cs="Noto Sans Devanagari"/>
      <w:b/>
      <w:bCs/>
      <w:sz w:val="24"/>
      <w:szCs w:val="24"/>
    </w:rPr>
  </w:style>
  <w:style w:type="paragraph" w:styleId="Heading5">
    <w:name w:val="heading 5"/>
    <w:basedOn w:val="berschrift"/>
    <w:next w:val="BodyText"/>
    <w:qFormat/>
    <w:pPr>
      <w:numPr>
        <w:ilvl w:val="4"/>
        <w:numId w:val="1"/>
      </w:numPr>
      <w:spacing w:before="120" w:after="60"/>
      <w:outlineLvl w:val="4"/>
    </w:pPr>
    <w:rPr>
      <w:b/>
      <w:bCs/>
      <w:sz w:val="24"/>
      <w:szCs w:val="24"/>
    </w:rPr>
  </w:style>
  <w:style w:type="character" w:styleId="Aufzhlungszeichen">
    <w:name w:val="Aufzählungszeichen"/>
    <w:qFormat/>
    <w:rPr>
      <w:rFonts w:ascii="OpenSymbol" w:hAnsi="OpenSymbol" w:eastAsia="OpenSymbol" w:cs="OpenSymbol"/>
    </w:rPr>
  </w:style>
  <w:style w:type="character" w:styleId="Hyperlink">
    <w:name w:val="Hyperlink"/>
    <w:rPr>
      <w:color w:val="000080"/>
      <w:u w:val="single"/>
    </w:rPr>
  </w:style>
  <w:style w:type="character" w:styleId="Quelltext">
    <w:name w:val="Quelltext"/>
    <w:qFormat/>
    <w:rPr>
      <w:rFonts w:ascii="Liberation Mono" w:hAnsi="Liberation Mono" w:eastAsia="Noto Sans Mono CJK SC" w:cs="Liberation Mono"/>
    </w:rPr>
  </w:style>
  <w:style w:type="character" w:styleId="LineNumber">
    <w:name w:val="line number"/>
    <w:rPr/>
  </w:style>
  <w:style w:type="character" w:styleId="Nummerierungszeichen">
    <w:name w:val="Nummerierungszeichen"/>
    <w:qFormat/>
    <w:rPr/>
  </w:style>
  <w:style w:type="character" w:styleId="Strong">
    <w:name w:val="Strong"/>
    <w:qFormat/>
    <w:rPr>
      <w:b/>
      <w:bCs/>
    </w:rPr>
  </w:style>
  <w:style w:type="character" w:styleId="Funotenzeichen">
    <w:name w:val="Fußnotenzeichen"/>
    <w:qFormat/>
    <w:rPr/>
  </w:style>
  <w:style w:type="character" w:styleId="FootnoteReference">
    <w:name w:val="footnote reference"/>
    <w:rPr>
      <w:vertAlign w:val="superscript"/>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Open Sans" w:hAnsi="Open Sans" w:eastAsia="Noto Sans CJK SC" w:cs="Noto Sans Devanagari"/>
      <w:sz w:val="28"/>
      <w:szCs w:val="28"/>
    </w:rPr>
  </w:style>
  <w:style w:type="paragraph" w:styleId="BodyText">
    <w:name w:val="Body Text"/>
    <w:basedOn w:val="Normal"/>
    <w:pPr>
      <w:suppressAutoHyphens w:val="false"/>
      <w:spacing w:lineRule="atLeast" w:line="125" w:before="0" w:after="119"/>
      <w:jc w:val="both"/>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paragraph" w:styleId="VorformatierterText">
    <w:name w:val="Vorformatierter Text"/>
    <w:basedOn w:val="Normal"/>
    <w:qFormat/>
    <w:pPr>
      <w:spacing w:before="0" w:after="0"/>
    </w:pPr>
    <w:rPr>
      <w:rFonts w:ascii="Liberation Mono" w:hAnsi="Liberation Mono" w:eastAsia="Noto Sans Mono CJK SC" w:cs="Liberation Mono"/>
      <w:sz w:val="20"/>
      <w:szCs w:val="20"/>
    </w:rPr>
  </w:style>
  <w:style w:type="paragraph" w:styleId="ListBullet">
    <w:name w:val="List Bullet"/>
    <w:basedOn w:val="List"/>
    <w:pPr>
      <w:numPr>
        <w:ilvl w:val="0"/>
        <w:numId w:val="2"/>
      </w:numPr>
      <w:spacing w:before="0" w:after="62"/>
    </w:pPr>
    <w:rPr/>
  </w:style>
  <w:style w:type="paragraph" w:styleId="ListBullet2">
    <w:name w:val="List Bullet 2"/>
    <w:basedOn w:val="List"/>
    <w:pPr>
      <w:numPr>
        <w:ilvl w:val="0"/>
        <w:numId w:val="2"/>
      </w:numPr>
      <w:spacing w:lineRule="auto" w:line="276" w:before="0" w:after="62"/>
      <w:ind w:left="454"/>
    </w:pPr>
    <w:rPr/>
  </w:style>
  <w:style w:type="paragraph" w:styleId="FootnoteText">
    <w:name w:val="footnote text"/>
    <w:basedOn w:val="Normal"/>
    <w:pPr>
      <w:suppressLineNumbers/>
      <w:tabs>
        <w:tab w:val="clear" w:pos="709"/>
      </w:tabs>
      <w:suppressAutoHyphens w:val="false"/>
      <w:ind w:hanging="340" w:left="340"/>
    </w:pPr>
    <w:rPr>
      <w:sz w:val="16"/>
      <w:szCs w:val="20"/>
    </w:rPr>
  </w:style>
  <w:style w:type="paragraph" w:styleId="Kopf-Fuzeile">
    <w:name w:val="Kopf-/Fußzeile"/>
    <w:basedOn w:val="Normal"/>
    <w:qFormat/>
    <w:pPr>
      <w:suppressLineNumbers/>
      <w:tabs>
        <w:tab w:val="clear" w:pos="709"/>
        <w:tab w:val="center" w:pos="4819" w:leader="none"/>
        <w:tab w:val="right" w:pos="9638" w:leader="none"/>
      </w:tabs>
    </w:pPr>
    <w:rPr/>
  </w:style>
  <w:style w:type="paragraph" w:styleId="Footer">
    <w:name w:val="footer"/>
    <w:basedOn w:val="Kopf-Fuzeile"/>
    <w:pPr>
      <w:suppressLineNumbers/>
    </w:pPr>
    <w:rPr/>
  </w:style>
  <w:style w:type="paragraph" w:styleId="Listenkopf">
    <w:name w:val="Listenkopf"/>
    <w:basedOn w:val="Normal"/>
    <w:next w:val="Listeninhalt"/>
    <w:qFormat/>
    <w:pPr>
      <w:ind w:left="0"/>
    </w:pPr>
    <w:rPr/>
  </w:style>
  <w:style w:type="paragraph" w:styleId="Listeninhalt">
    <w:name w:val="Listeninhalt"/>
    <w:basedOn w:val="Normal"/>
    <w:qFormat/>
    <w:pPr>
      <w:ind w:left="567"/>
    </w:pPr>
    <w:rPr/>
  </w:style>
  <w:style w:type="paragraph" w:styleId="Title">
    <w:name w:val="Title"/>
    <w:basedOn w:val="berschrift"/>
    <w:next w:val="BodyText"/>
    <w:qFormat/>
    <w:pPr>
      <w:spacing w:before="0" w:after="119"/>
      <w:jc w:val="left"/>
    </w:pPr>
    <w:rPr>
      <w:rFonts w:ascii="Open Sans" w:hAnsi="Open Sans"/>
      <w:b/>
      <w:bCs/>
      <w:sz w:val="36"/>
      <w:szCs w:val="36"/>
    </w:rPr>
  </w:style>
  <w:style w:type="paragraph" w:styleId="Tabelle">
    <w:name w:val="Tabelle"/>
    <w:basedOn w:val="Caption"/>
    <w:qFormat/>
    <w:pPr>
      <w:suppressAutoHyphens w:val="false"/>
    </w:pPr>
    <w:rPr>
      <w:sz w:val="20"/>
    </w:rPr>
  </w:style>
  <w:style w:type="paragraph" w:styleId="Subtitle">
    <w:name w:val="Subtitle"/>
    <w:basedOn w:val="berschrift"/>
    <w:next w:val="BodyText"/>
    <w:qFormat/>
    <w:pPr>
      <w:spacing w:before="0" w:after="119"/>
      <w:jc w:val="center"/>
    </w:pPr>
    <w:rPr>
      <w:rFonts w:ascii="Open Sans" w:hAnsi="Open Sans"/>
      <w:b/>
      <w:bCs/>
      <w:sz w:val="28"/>
      <w:szCs w:val="28"/>
    </w:rPr>
  </w:style>
  <w:style w:type="paragraph" w:styleId="Rahmeninhalt">
    <w:name w:val="Rahmeninhalt"/>
    <w:basedOn w:val="Normal"/>
    <w:qFormat/>
    <w:pPr/>
    <w:rPr/>
  </w:style>
  <w:style w:type="paragraph" w:styleId="Untertitel2">
    <w:name w:val="Untertitel 2"/>
    <w:basedOn w:val="Subtitle"/>
    <w:qFormat/>
    <w:pPr>
      <w:jc w:val="left"/>
    </w:pPr>
    <w:rPr>
      <w:b/>
      <w:bCs/>
      <w:sz w:val="26"/>
      <w:szCs w:val="26"/>
    </w:rPr>
  </w:style>
  <w:style w:type="paragraph" w:styleId="Untertitel3">
    <w:name w:val="Untertitel 3"/>
    <w:basedOn w:val="Untertitel2"/>
    <w:qFormat/>
    <w:pPr/>
    <w:rPr>
      <w:b/>
      <w:bCs/>
      <w:i/>
      <w:iCs/>
      <w:sz w:val="20"/>
      <w:szCs w:val="20"/>
    </w:rPr>
  </w:style>
  <w:style w:type="paragraph" w:styleId="Fliesstextkursivklein">
    <w:name w:val="Fliesstext_kursiv_klein"/>
    <w:basedOn w:val="BodyText"/>
    <w:qFormat/>
    <w:pPr>
      <w:spacing w:lineRule="auto" w:line="240" w:before="0" w:after="0"/>
      <w:ind w:hanging="0" w:left="0" w:right="0"/>
    </w:pPr>
    <w:rPr>
      <w:rFonts w:ascii="Open Sans" w:hAnsi="Open Sans"/>
      <w:i/>
      <w:iCs/>
      <w:sz w:val="20"/>
      <w:szCs w:val="20"/>
    </w:rPr>
  </w:style>
  <w:style w:type="paragraph" w:styleId="EnvelopeAddress">
    <w:name w:val="envelope address"/>
    <w:basedOn w:val="Normal"/>
    <w:pPr>
      <w:suppressLineNumbers/>
      <w:spacing w:before="0" w:after="60"/>
    </w:pPr>
    <w:rPr/>
  </w:style>
  <w:style w:type="paragraph" w:styleId="Fliesstextkursiv">
    <w:name w:val="Fliesstext_kursiv"/>
    <w:basedOn w:val="BodyText"/>
    <w:qFormat/>
    <w:pPr/>
    <w:rPr>
      <w:i/>
      <w:iCs/>
    </w:rPr>
  </w:style>
  <w:style w:type="paragraph" w:styleId="BodyTextIndent">
    <w:name w:val="Body Text Indent"/>
    <w:basedOn w:val="BodyText"/>
    <w:pPr>
      <w:ind w:hanging="0" w:left="283"/>
    </w:pPr>
    <w:rPr/>
  </w:style>
  <w:style w:type="paragraph" w:styleId="Fliesstexteingercktkursiv">
    <w:name w:val="Fliesstext, eingerückt, kursiv"/>
    <w:basedOn w:val="BodyTextIndent"/>
    <w:qFormat/>
    <w:pPr>
      <w:suppressAutoHyphens w:val="false"/>
      <w:spacing w:lineRule="atLeast" w:line="125" w:before="0" w:after="119"/>
      <w:ind w:hanging="227" w:left="510" w:right="0"/>
      <w:jc w:val="both"/>
    </w:pPr>
    <w:rPr>
      <w:b w:val="false"/>
      <w:bCs w:val="false"/>
      <w:i/>
      <w:iCs/>
    </w:rPr>
  </w:style>
  <w:style w:type="paragraph" w:styleId="Header">
    <w:name w:val="header"/>
    <w:basedOn w:val="Kopf-Fuzeile"/>
    <w:pPr>
      <w:suppressLineNumbers/>
    </w:pPr>
    <w:rPr/>
  </w:style>
  <w:style w:type="paragraph" w:styleId="Kopfzeilelinks">
    <w:name w:val="Kopfzeile links"/>
    <w:basedOn w:val="Header"/>
    <w:qFormat/>
    <w:pPr>
      <w:suppressLineNumbers/>
    </w:pPr>
    <w:rPr/>
  </w:style>
  <w:style w:type="numbering" w:styleId="Aufzhlungszeichen1">
    <w:name w:val="Aufzählungszeichen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ese.ch/wp-content/uploads/VESE_Whitepaper_Abnahmeverguetungen_ab_2026-was_ist_in_die_Grundversorgung_anrechenbar.pdf" TargetMode="External"/><Relationship Id="rId3" Type="http://schemas.openxmlformats.org/officeDocument/2006/relationships/hyperlink" Target="https://www.vese.ch/wp-content/uploads/VESE_Whitepaper_Abnahmeverguetungen_ab_2026-was_ist_in_die_Grundversorgung_anrechenbar.pdf"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Standard_ws</Template>
  <TotalTime>528</TotalTime>
  <Application>LibreOffice/25.2.4.3$Linux_X86_64 LibreOffice_project/520$Build-3</Application>
  <AppVersion>15.0000</AppVersion>
  <Pages>3</Pages>
  <Words>538</Words>
  <Characters>3883</Characters>
  <CharactersWithSpaces>4382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2025-03-03T15:24:06Z</dcterms:created>
  <dc:creator/>
  <dc:description/>
  <dc:language>de-CH</dc:language>
  <cp:lastModifiedBy/>
  <cp:lastPrinted>2025-04-16T07:53:28Z</cp:lastPrinted>
  <dcterms:modified xsi:type="dcterms:W3CDTF">2025-07-17T08:44:34Z</dcterms:modified>
  <cp:revision>69</cp:revision>
  <dc:subject>Medienmitteilung VESE - Abnahmevergütungen PV ab 2026 - was ist auf die Grundversorgung anrechenbar</dc:subject>
  <dc:title>Medienmitteilung VESE - Abnahmevergütungen PV ab 2026 - was ist auf die Grundversorgung anrechenbar</dc:title>
</cp:coreProperties>
</file>