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99C05" w14:textId="77777777" w:rsidR="006543FF" w:rsidRDefault="00000000">
      <w:pPr>
        <w:spacing w:before="120" w:after="0" w:line="240" w:lineRule="auto"/>
        <w:ind w:right="6333"/>
        <w:jc w:val="both"/>
        <w:rPr>
          <w:rFonts w:ascii="Arial" w:eastAsia="Arial" w:hAnsi="Arial" w:cs="Arial"/>
          <w:sz w:val="20"/>
          <w:szCs w:val="20"/>
        </w:rPr>
      </w:pPr>
      <w:r>
        <w:rPr>
          <w:rFonts w:ascii="Arial" w:eastAsia="Arial" w:hAnsi="Arial" w:cs="Arial"/>
          <w:b/>
          <w:sz w:val="20"/>
          <w:szCs w:val="20"/>
        </w:rPr>
        <w:t>Medienmitteilung:</w:t>
      </w:r>
    </w:p>
    <w:p w14:paraId="60C32C2E" w14:textId="5E3C4897" w:rsidR="006543FF" w:rsidRDefault="00000000">
      <w:pPr>
        <w:spacing w:before="120" w:after="0" w:line="240" w:lineRule="auto"/>
        <w:ind w:right="6663"/>
        <w:jc w:val="both"/>
        <w:rPr>
          <w:rFonts w:ascii="Arial" w:eastAsia="Arial" w:hAnsi="Arial" w:cs="Arial"/>
          <w:sz w:val="20"/>
          <w:szCs w:val="20"/>
        </w:rPr>
      </w:pPr>
      <w:r>
        <w:rPr>
          <w:rFonts w:ascii="Arial" w:eastAsia="Arial" w:hAnsi="Arial" w:cs="Arial"/>
          <w:sz w:val="20"/>
          <w:szCs w:val="20"/>
        </w:rPr>
        <w:t xml:space="preserve">Bern, </w:t>
      </w:r>
      <w:r w:rsidR="0037532D">
        <w:rPr>
          <w:rFonts w:ascii="Arial" w:eastAsia="Arial" w:hAnsi="Arial" w:cs="Arial"/>
          <w:sz w:val="20"/>
          <w:szCs w:val="20"/>
        </w:rPr>
        <w:t>0</w:t>
      </w:r>
      <w:r w:rsidR="002B0117">
        <w:rPr>
          <w:rFonts w:ascii="Arial" w:eastAsia="Arial" w:hAnsi="Arial" w:cs="Arial"/>
          <w:sz w:val="20"/>
          <w:szCs w:val="20"/>
        </w:rPr>
        <w:t>4</w:t>
      </w:r>
      <w:r w:rsidR="0037532D">
        <w:rPr>
          <w:rFonts w:ascii="Arial" w:eastAsia="Arial" w:hAnsi="Arial" w:cs="Arial"/>
          <w:sz w:val="20"/>
          <w:szCs w:val="20"/>
        </w:rPr>
        <w:t>. Oktober</w:t>
      </w:r>
      <w:r>
        <w:rPr>
          <w:rFonts w:ascii="Arial" w:eastAsia="Arial" w:hAnsi="Arial" w:cs="Arial"/>
          <w:sz w:val="20"/>
          <w:szCs w:val="20"/>
        </w:rPr>
        <w:t xml:space="preserve"> 2024</w:t>
      </w:r>
    </w:p>
    <w:p w14:paraId="5139973D" w14:textId="77777777" w:rsidR="0037532D" w:rsidRDefault="0037532D">
      <w:pPr>
        <w:spacing w:before="120" w:after="0" w:line="240" w:lineRule="auto"/>
        <w:ind w:right="6663"/>
        <w:jc w:val="both"/>
        <w:rPr>
          <w:rFonts w:ascii="Arial" w:eastAsia="Arial" w:hAnsi="Arial" w:cs="Arial"/>
          <w:sz w:val="20"/>
          <w:szCs w:val="20"/>
        </w:rPr>
      </w:pPr>
    </w:p>
    <w:p w14:paraId="3A82BBAD" w14:textId="77777777" w:rsidR="006543FF" w:rsidRDefault="00000000">
      <w:pPr>
        <w:spacing w:before="120" w:after="0" w:line="240" w:lineRule="auto"/>
        <w:ind w:right="1"/>
        <w:jc w:val="both"/>
        <w:rPr>
          <w:rFonts w:ascii="Arial" w:eastAsia="Arial" w:hAnsi="Arial" w:cs="Arial"/>
          <w:b/>
          <w:sz w:val="28"/>
          <w:szCs w:val="28"/>
        </w:rPr>
      </w:pPr>
      <w:r>
        <w:rPr>
          <w:rFonts w:ascii="Arial" w:eastAsia="Arial" w:hAnsi="Arial" w:cs="Arial"/>
          <w:b/>
          <w:sz w:val="28"/>
          <w:szCs w:val="28"/>
        </w:rPr>
        <w:t xml:space="preserve">PV-Vergütungen sinken im 2025 </w:t>
      </w:r>
    </w:p>
    <w:p w14:paraId="4466A2F4" w14:textId="77777777" w:rsidR="006543FF" w:rsidRDefault="00000000">
      <w:pPr>
        <w:spacing w:before="120" w:after="0" w:line="240" w:lineRule="auto"/>
        <w:ind w:right="1"/>
        <w:jc w:val="both"/>
        <w:rPr>
          <w:rFonts w:ascii="Arial" w:eastAsia="Arial" w:hAnsi="Arial" w:cs="Arial"/>
          <w:b/>
        </w:rPr>
      </w:pPr>
      <w:r>
        <w:rPr>
          <w:rFonts w:ascii="Arial" w:eastAsia="Arial" w:hAnsi="Arial" w:cs="Arial"/>
          <w:b/>
        </w:rPr>
        <w:t xml:space="preserve">Nach rekordhohen Vergütungen im laufenden Jahr zeigt eine Umfrage von VESE bei den grössten Verteilnetzbetreibern eine signifikante Absenkung der Vergütungen für eingespeisten Solarstrom auf Anfang 2025. Dies ist eine Folge  der gesunkenen Beschaffungskosten für Strom. </w:t>
      </w:r>
    </w:p>
    <w:p w14:paraId="308652F1" w14:textId="77777777" w:rsidR="006543FF" w:rsidRDefault="006543FF">
      <w:pPr>
        <w:spacing w:before="120" w:after="0" w:line="240" w:lineRule="auto"/>
        <w:ind w:right="84"/>
        <w:jc w:val="both"/>
        <w:rPr>
          <w:rFonts w:ascii="Arial" w:eastAsia="Arial" w:hAnsi="Arial" w:cs="Arial"/>
          <w:sz w:val="20"/>
          <w:szCs w:val="20"/>
        </w:rPr>
      </w:pPr>
    </w:p>
    <w:p w14:paraId="2C28BB66" w14:textId="77777777" w:rsidR="006543FF" w:rsidRDefault="00000000">
      <w:pPr>
        <w:spacing w:before="120" w:after="0" w:line="240" w:lineRule="auto"/>
        <w:ind w:right="84"/>
        <w:jc w:val="both"/>
        <w:rPr>
          <w:rFonts w:ascii="Arial" w:eastAsia="Arial" w:hAnsi="Arial" w:cs="Arial"/>
          <w:sz w:val="20"/>
          <w:szCs w:val="20"/>
        </w:rPr>
      </w:pPr>
      <w:r>
        <w:rPr>
          <w:rFonts w:ascii="Arial" w:eastAsia="Arial" w:hAnsi="Arial" w:cs="Arial"/>
          <w:sz w:val="20"/>
          <w:szCs w:val="20"/>
        </w:rPr>
        <w:t xml:space="preserve">Bisher konnte VESE nur die Abnahmevergütungen von knapp der Hälfte der 30 grössten Schweizer Verteilnetzbetreiber in Erfahrung bringen. Dieses Bild zeigt durchschnittliche Senkungen der Vergütungen um rund 25%. Es gibt darunter aber auch vereinzelte Erhöhungen, beispielsweise die BKW mit einem höherem </w:t>
      </w:r>
      <w:proofErr w:type="spellStart"/>
      <w:r>
        <w:rPr>
          <w:rFonts w:ascii="Arial" w:eastAsia="Arial" w:hAnsi="Arial" w:cs="Arial"/>
          <w:sz w:val="20"/>
          <w:szCs w:val="20"/>
        </w:rPr>
        <w:t>HKN</w:t>
      </w:r>
      <w:proofErr w:type="spellEnd"/>
      <w:r>
        <w:rPr>
          <w:rFonts w:ascii="Arial" w:eastAsia="Arial" w:hAnsi="Arial" w:cs="Arial"/>
          <w:sz w:val="20"/>
          <w:szCs w:val="20"/>
        </w:rPr>
        <w:t xml:space="preserve"> Abnahmepreis, und bei </w:t>
      </w:r>
      <w:proofErr w:type="spellStart"/>
      <w:r>
        <w:rPr>
          <w:rFonts w:ascii="Arial" w:eastAsia="Arial" w:hAnsi="Arial" w:cs="Arial"/>
          <w:sz w:val="20"/>
          <w:szCs w:val="20"/>
        </w:rPr>
        <w:t>ewb</w:t>
      </w:r>
      <w:proofErr w:type="spellEnd"/>
      <w:r>
        <w:rPr>
          <w:rFonts w:ascii="Arial" w:eastAsia="Arial" w:hAnsi="Arial" w:cs="Arial"/>
          <w:sz w:val="20"/>
          <w:szCs w:val="20"/>
        </w:rPr>
        <w:t xml:space="preserve"> im Rahmen von immer noch steigenden Energiepreisen für ihre Kunden. </w:t>
      </w:r>
    </w:p>
    <w:p w14:paraId="31A9F559" w14:textId="77777777" w:rsidR="006543FF" w:rsidRDefault="00000000">
      <w:pPr>
        <w:spacing w:before="120" w:after="0" w:line="240" w:lineRule="auto"/>
        <w:ind w:right="84"/>
        <w:jc w:val="both"/>
        <w:rPr>
          <w:rFonts w:ascii="Arial" w:eastAsia="Arial" w:hAnsi="Arial" w:cs="Arial"/>
          <w:sz w:val="20"/>
          <w:szCs w:val="20"/>
        </w:rPr>
      </w:pPr>
      <w:r>
        <w:rPr>
          <w:rFonts w:ascii="Arial" w:eastAsia="Arial" w:hAnsi="Arial" w:cs="Arial"/>
          <w:sz w:val="20"/>
          <w:szCs w:val="20"/>
        </w:rPr>
        <w:t xml:space="preserve">Auslöser dafür, dass viele Netzbetreiber betreffend den Vergütungen für 2025 noch nicht Farbe bekennen wollen, ist, dass sie noch abwarten, welche Verordnungen im November vom Bundesrat nach der Annahme des Mantelerlasses nun effektiv in Kraft gesetzt werden. Allerdings sollen gemäss einer </w:t>
      </w:r>
      <w:hyperlink r:id="rId6">
        <w:r>
          <w:rPr>
            <w:rFonts w:ascii="Arial" w:eastAsia="Arial" w:hAnsi="Arial" w:cs="Arial"/>
            <w:color w:val="1155CC"/>
            <w:sz w:val="20"/>
            <w:szCs w:val="20"/>
            <w:u w:val="single"/>
          </w:rPr>
          <w:t>Mitteilung</w:t>
        </w:r>
      </w:hyperlink>
      <w:r>
        <w:rPr>
          <w:rFonts w:ascii="Arial" w:eastAsia="Arial" w:hAnsi="Arial" w:cs="Arial"/>
          <w:sz w:val="20"/>
          <w:szCs w:val="20"/>
        </w:rPr>
        <w:t xml:space="preserve"> des Bundesamtes für Energie (BFE) die neuen Bestimmungen zur Abnahmevergütung voraussichtlich erst auf Anfang 2026 in Kraft gesetzt werden. Das sorgt bei den Verteilnetzbetreibern entsprechend für Unsicherheit. Deshalb ist es für VESE zur Zeit noch nicht möglich, einen genauen Wert der durchschnittlichen Vergütungen für 2025 zu ermitteln.</w:t>
      </w:r>
    </w:p>
    <w:p w14:paraId="60362122" w14:textId="77777777" w:rsidR="006543FF" w:rsidRDefault="00000000">
      <w:pPr>
        <w:spacing w:before="120" w:after="0" w:line="240" w:lineRule="auto"/>
        <w:ind w:right="84"/>
        <w:jc w:val="both"/>
        <w:rPr>
          <w:rFonts w:ascii="Arial" w:eastAsia="Arial" w:hAnsi="Arial" w:cs="Arial"/>
          <w:sz w:val="20"/>
          <w:szCs w:val="20"/>
        </w:rPr>
      </w:pPr>
      <w:r>
        <w:rPr>
          <w:rFonts w:ascii="Arial" w:eastAsia="Arial" w:hAnsi="Arial" w:cs="Arial"/>
          <w:sz w:val="20"/>
          <w:szCs w:val="20"/>
        </w:rPr>
        <w:t xml:space="preserve">Eine merkliche Senkung ist aber insgesamt zu erwarten, nachdem sich die Lage am Europäischen Elektrizitätsmarkt entspannt hat. Die Preise für die Verbraucher für 2025, welche Ende August von der </w:t>
      </w:r>
      <w:proofErr w:type="spellStart"/>
      <w:r>
        <w:rPr>
          <w:rFonts w:ascii="Arial" w:eastAsia="Arial" w:hAnsi="Arial" w:cs="Arial"/>
          <w:sz w:val="20"/>
          <w:szCs w:val="20"/>
        </w:rPr>
        <w:t>ElCom</w:t>
      </w:r>
      <w:proofErr w:type="spellEnd"/>
      <w:r>
        <w:rPr>
          <w:rFonts w:ascii="Arial" w:eastAsia="Arial" w:hAnsi="Arial" w:cs="Arial"/>
          <w:sz w:val="20"/>
          <w:szCs w:val="20"/>
        </w:rPr>
        <w:t xml:space="preserve"> publiziert wurden, gingen deutlich zurück. Und weil die Mehrheit der Netzbetreiber die Vergütungen den Verbraucherpreisen für Energie in etwa nachführen, muss mit diesem Rückgang gerechnet werden.</w:t>
      </w:r>
    </w:p>
    <w:p w14:paraId="17A21256" w14:textId="77777777" w:rsidR="006543FF" w:rsidRDefault="00000000">
      <w:pPr>
        <w:spacing w:before="120" w:after="0" w:line="240" w:lineRule="auto"/>
        <w:ind w:right="84"/>
        <w:jc w:val="both"/>
        <w:rPr>
          <w:rFonts w:ascii="Arial" w:eastAsia="Arial" w:hAnsi="Arial" w:cs="Arial"/>
          <w:sz w:val="20"/>
          <w:szCs w:val="20"/>
        </w:rPr>
      </w:pPr>
      <w:r>
        <w:rPr>
          <w:rFonts w:ascii="Arial" w:eastAsia="Arial" w:hAnsi="Arial" w:cs="Arial"/>
          <w:sz w:val="20"/>
          <w:szCs w:val="20"/>
        </w:rPr>
        <w:t xml:space="preserve">Falls sich diese Tendenz fortsetzt, wovon VESE ausgeht, kann somit für 2025 von einer mittleren Vergütung im Bereich von 11 bis 13 Rp/kWh ausgegangen werden. Trotz Rückgang wäre dies immer noch ein relativ hoher Wert im Vergleich der letzten 10 Jahre und befindet sich im Rahmen der von VESE empfohlenen 10 bis 12 Rp/kWh. Diese Vergütung, so sie langfristig stabil ausgerichtet wird, erlaubt den Produzenten eine befriedigende Amortisation ihrer Anlagen. </w:t>
      </w:r>
    </w:p>
    <w:p w14:paraId="3FA61FD2" w14:textId="77777777" w:rsidR="006543FF" w:rsidRDefault="006543FF">
      <w:pPr>
        <w:spacing w:before="120" w:after="0" w:line="240" w:lineRule="auto"/>
        <w:ind w:right="84"/>
        <w:jc w:val="both"/>
        <w:rPr>
          <w:rFonts w:ascii="Arial" w:eastAsia="Arial" w:hAnsi="Arial" w:cs="Arial"/>
          <w:sz w:val="20"/>
          <w:szCs w:val="20"/>
        </w:rPr>
      </w:pPr>
    </w:p>
    <w:p w14:paraId="631F8611" w14:textId="77777777" w:rsidR="006543FF" w:rsidRDefault="00000000">
      <w:pPr>
        <w:spacing w:before="120" w:after="0" w:line="240" w:lineRule="auto"/>
        <w:ind w:right="84"/>
        <w:jc w:val="both"/>
        <w:rPr>
          <w:rFonts w:ascii="Arial" w:eastAsia="Arial" w:hAnsi="Arial" w:cs="Arial"/>
          <w:b/>
          <w:sz w:val="20"/>
          <w:szCs w:val="20"/>
        </w:rPr>
      </w:pPr>
      <w:r>
        <w:rPr>
          <w:rFonts w:ascii="Arial" w:eastAsia="Arial" w:hAnsi="Arial" w:cs="Arial"/>
          <w:b/>
          <w:sz w:val="20"/>
          <w:szCs w:val="20"/>
        </w:rPr>
        <w:t>Grosse Verunsicherung in der Branche</w:t>
      </w:r>
    </w:p>
    <w:p w14:paraId="4B671EA7" w14:textId="77777777" w:rsidR="006543FF" w:rsidRDefault="00000000">
      <w:pPr>
        <w:spacing w:before="120" w:after="0" w:line="240" w:lineRule="auto"/>
        <w:ind w:right="84"/>
        <w:jc w:val="both"/>
        <w:rPr>
          <w:rFonts w:ascii="Arial" w:eastAsia="Arial" w:hAnsi="Arial" w:cs="Arial"/>
          <w:sz w:val="20"/>
          <w:szCs w:val="20"/>
        </w:rPr>
      </w:pPr>
      <w:r>
        <w:rPr>
          <w:rFonts w:ascii="Arial" w:eastAsia="Arial" w:hAnsi="Arial" w:cs="Arial"/>
          <w:sz w:val="20"/>
          <w:szCs w:val="20"/>
        </w:rPr>
        <w:t>Obwohl sich abzeichnet, dass sich die Vergütungen 2025 in einem vernünftigen Rahmen bewegen, beobachtet VESE die generelle Situation mit grosser Besorgnis.  Mit der Annahme des Mantelerlasses, welcher das Ziel von 35 TWh zusätzlicher erneuerbarer Stromproduktion bis im 2035 vorgibt, sollte Aufbruchstimmung herrschen. In der Branche ist aber das Gegenteil der Fall. Die Verunsicherung erinnert an die Situation nach der Abschaffung der KEV, die nicht nur zu einer massiven Abkühlung des Zubaus, sondern auch einem jahrelang anhaltenden Imageverlust der Solarenergie führte. Die Rückmeldungen an VESE sind geprägt von grosser Enttäuschung über die im Gesetz versprochene, aber nach wie vor fehlende Investitionssicherheit.</w:t>
      </w:r>
    </w:p>
    <w:p w14:paraId="4E0FDCC3" w14:textId="77777777" w:rsidR="006543FF" w:rsidRDefault="00000000">
      <w:pPr>
        <w:spacing w:before="120" w:after="0" w:line="240" w:lineRule="auto"/>
        <w:ind w:right="84"/>
        <w:jc w:val="both"/>
        <w:rPr>
          <w:rFonts w:ascii="Arial" w:eastAsia="Arial" w:hAnsi="Arial" w:cs="Arial"/>
          <w:sz w:val="20"/>
          <w:szCs w:val="20"/>
        </w:rPr>
      </w:pPr>
      <w:r>
        <w:rPr>
          <w:rFonts w:ascii="Arial" w:eastAsia="Arial" w:hAnsi="Arial" w:cs="Arial"/>
          <w:sz w:val="20"/>
          <w:szCs w:val="20"/>
        </w:rPr>
        <w:t xml:space="preserve">VESE weiss von einigen Solargenossenschaften und Investoren, welche fertig geplante, grosse PV-Projekte aufgrund der Verunsicherung sistiert haben. Dies ist sehr bedauerlich und hilft den Zielen des Mantelerlasses nicht. Die rekordhohen Installationszahlen der vergangenen drei Jahren verdecken zur Zeit noch die Sicht auf die Tatsache, dass es für eine gelungene Energiewende nach wie vor hohes Engagement braucht. Die aktuelle Ausrichtung auf den europäischen Spotmarktpreis und die hohe Gewichtung des Eigenverbrauchs könnten rasch zum Eigentor werden. VESE fordert deswegen sowohl den Bundesrat wie auch die Verteilnetzbetreiber auf, stabile, «an der Amortisation von Referenzanlagen» ausgerichtete Abnahmevergütungen zu gewährleisten. Einen entsprechenden Vorschlag, wie dies geschehen könnte, hat VESE in der </w:t>
      </w:r>
      <w:hyperlink r:id="rId7">
        <w:r>
          <w:rPr>
            <w:rFonts w:ascii="Arial" w:eastAsia="Arial" w:hAnsi="Arial" w:cs="Arial"/>
            <w:color w:val="1155CC"/>
            <w:sz w:val="20"/>
            <w:szCs w:val="20"/>
            <w:u w:val="single"/>
          </w:rPr>
          <w:t>Stellungnahme zu den Verordn</w:t>
        </w:r>
        <w:r>
          <w:rPr>
            <w:rFonts w:ascii="Arial" w:eastAsia="Arial" w:hAnsi="Arial" w:cs="Arial"/>
            <w:color w:val="1155CC"/>
            <w:sz w:val="20"/>
            <w:szCs w:val="20"/>
            <w:u w:val="single"/>
          </w:rPr>
          <w:t>u</w:t>
        </w:r>
        <w:r>
          <w:rPr>
            <w:rFonts w:ascii="Arial" w:eastAsia="Arial" w:hAnsi="Arial" w:cs="Arial"/>
            <w:color w:val="1155CC"/>
            <w:sz w:val="20"/>
            <w:szCs w:val="20"/>
            <w:u w:val="single"/>
          </w:rPr>
          <w:t>ngen des Mantelerlasses</w:t>
        </w:r>
      </w:hyperlink>
      <w:r>
        <w:rPr>
          <w:rFonts w:ascii="Arial" w:eastAsia="Arial" w:hAnsi="Arial" w:cs="Arial"/>
          <w:sz w:val="20"/>
          <w:szCs w:val="20"/>
        </w:rPr>
        <w:t xml:space="preserve"> (ab S. 5) gemacht.</w:t>
      </w:r>
    </w:p>
    <w:p w14:paraId="5194F47D" w14:textId="77777777" w:rsidR="006543FF" w:rsidRDefault="00000000">
      <w:pPr>
        <w:spacing w:before="120" w:after="0" w:line="240" w:lineRule="auto"/>
        <w:ind w:right="84"/>
        <w:jc w:val="both"/>
        <w:rPr>
          <w:rFonts w:ascii="Arial" w:eastAsia="Arial" w:hAnsi="Arial" w:cs="Arial"/>
          <w:sz w:val="20"/>
          <w:szCs w:val="20"/>
        </w:rPr>
      </w:pPr>
      <w:r>
        <w:rPr>
          <w:rFonts w:ascii="Arial" w:eastAsia="Arial" w:hAnsi="Arial" w:cs="Arial"/>
          <w:sz w:val="20"/>
          <w:szCs w:val="20"/>
        </w:rPr>
        <w:t xml:space="preserve">         </w:t>
      </w:r>
    </w:p>
    <w:p w14:paraId="5A743C78" w14:textId="4EF7CDD1" w:rsidR="006543FF" w:rsidRDefault="00415561">
      <w:pPr>
        <w:spacing w:before="120" w:after="0" w:line="240" w:lineRule="auto"/>
        <w:ind w:right="84"/>
        <w:jc w:val="both"/>
        <w:rPr>
          <w:b/>
        </w:rPr>
      </w:pPr>
      <w:r>
        <w:rPr>
          <w:rFonts w:ascii="Arial" w:eastAsia="Arial" w:hAnsi="Arial" w:cs="Arial"/>
          <w:sz w:val="2"/>
          <w:szCs w:val="2"/>
        </w:rPr>
        <w:t xml:space="preserve">   </w:t>
      </w:r>
      <w:r>
        <w:rPr>
          <w:rFonts w:ascii="Arial" w:eastAsia="Arial" w:hAnsi="Arial" w:cs="Arial"/>
          <w:i/>
          <w:sz w:val="20"/>
          <w:szCs w:val="20"/>
        </w:rPr>
        <w:t xml:space="preserve">Kontakt: Diego Fischer, Vorstandsmitglied VESE, 077 466 86 26, </w:t>
      </w:r>
      <w:proofErr w:type="spellStart"/>
      <w:r>
        <w:rPr>
          <w:rFonts w:ascii="Arial" w:eastAsia="Arial" w:hAnsi="Arial" w:cs="Arial"/>
          <w:i/>
          <w:sz w:val="20"/>
          <w:szCs w:val="20"/>
        </w:rPr>
        <w:t>diego.fischer@vese.ch</w:t>
      </w:r>
      <w:proofErr w:type="spellEnd"/>
    </w:p>
    <w:p w14:paraId="3840B85D" w14:textId="77777777" w:rsidR="006543FF" w:rsidRDefault="006543FF">
      <w:pPr>
        <w:spacing w:before="120" w:after="0" w:line="240" w:lineRule="auto"/>
        <w:ind w:right="84"/>
        <w:jc w:val="both"/>
        <w:rPr>
          <w:rFonts w:ascii="Arial" w:eastAsia="Arial" w:hAnsi="Arial" w:cs="Arial"/>
          <w:b/>
          <w:sz w:val="20"/>
          <w:szCs w:val="20"/>
        </w:rPr>
      </w:pPr>
    </w:p>
    <w:p w14:paraId="47AD323B" w14:textId="77777777" w:rsidR="006543FF" w:rsidRDefault="006543FF">
      <w:pPr>
        <w:spacing w:before="120" w:after="0" w:line="240" w:lineRule="auto"/>
        <w:ind w:right="1"/>
        <w:jc w:val="both"/>
        <w:rPr>
          <w:rFonts w:ascii="Arial" w:eastAsia="Arial" w:hAnsi="Arial" w:cs="Arial"/>
          <w:b/>
          <w:sz w:val="20"/>
          <w:szCs w:val="20"/>
        </w:rPr>
      </w:pPr>
    </w:p>
    <w:p w14:paraId="5A6CE623" w14:textId="77777777" w:rsidR="006543FF" w:rsidRDefault="00000000">
      <w:pPr>
        <w:spacing w:before="120" w:after="0" w:line="240" w:lineRule="auto"/>
        <w:ind w:right="1"/>
        <w:jc w:val="both"/>
        <w:rPr>
          <w:rFonts w:ascii="Arial" w:eastAsia="Arial" w:hAnsi="Arial" w:cs="Arial"/>
          <w:b/>
          <w:sz w:val="20"/>
          <w:szCs w:val="20"/>
        </w:rPr>
      </w:pPr>
      <w:r>
        <w:rPr>
          <w:rFonts w:ascii="Arial" w:eastAsia="Arial" w:hAnsi="Arial" w:cs="Arial"/>
          <w:b/>
          <w:sz w:val="20"/>
          <w:szCs w:val="20"/>
        </w:rPr>
        <w:t>Über den Verband unabhängiger Energieerzeuger VESE</w:t>
      </w:r>
    </w:p>
    <w:p w14:paraId="1EC5AB5A" w14:textId="77777777" w:rsidR="006543FF" w:rsidRDefault="00000000">
      <w:pPr>
        <w:spacing w:before="120" w:after="0" w:line="240" w:lineRule="auto"/>
        <w:ind w:right="1"/>
        <w:jc w:val="both"/>
        <w:rPr>
          <w:rFonts w:ascii="Arial" w:eastAsia="Arial" w:hAnsi="Arial" w:cs="Arial"/>
          <w:color w:val="000000"/>
          <w:sz w:val="20"/>
          <w:szCs w:val="20"/>
        </w:rPr>
      </w:pPr>
      <w:r>
        <w:rPr>
          <w:rFonts w:ascii="Arial" w:eastAsia="Arial" w:hAnsi="Arial" w:cs="Arial"/>
          <w:color w:val="0F0F0F"/>
          <w:sz w:val="20"/>
          <w:szCs w:val="20"/>
        </w:rPr>
        <w:t xml:space="preserve">VESE, eine </w:t>
      </w:r>
      <w:r>
        <w:rPr>
          <w:rFonts w:ascii="Arial" w:eastAsia="Arial" w:hAnsi="Arial" w:cs="Arial"/>
          <w:color w:val="000000"/>
          <w:sz w:val="20"/>
          <w:szCs w:val="20"/>
        </w:rPr>
        <w:t>Fa</w:t>
      </w:r>
      <w:r>
        <w:rPr>
          <w:rFonts w:ascii="Arial" w:eastAsia="Arial" w:hAnsi="Arial" w:cs="Arial"/>
          <w:color w:val="232323"/>
          <w:sz w:val="20"/>
          <w:szCs w:val="20"/>
        </w:rPr>
        <w:t xml:space="preserve">chgruppe </w:t>
      </w:r>
      <w:r>
        <w:rPr>
          <w:rFonts w:ascii="Arial" w:eastAsia="Arial" w:hAnsi="Arial" w:cs="Arial"/>
          <w:color w:val="0F0F0F"/>
          <w:sz w:val="20"/>
          <w:szCs w:val="20"/>
        </w:rPr>
        <w:t xml:space="preserve">der Schweizerischen Vereinigung </w:t>
      </w:r>
      <w:r>
        <w:rPr>
          <w:rFonts w:ascii="Arial" w:eastAsia="Arial" w:hAnsi="Arial" w:cs="Arial"/>
          <w:color w:val="000000"/>
          <w:sz w:val="20"/>
          <w:szCs w:val="20"/>
        </w:rPr>
        <w:t xml:space="preserve">für </w:t>
      </w:r>
      <w:r>
        <w:rPr>
          <w:rFonts w:ascii="Arial" w:eastAsia="Arial" w:hAnsi="Arial" w:cs="Arial"/>
          <w:color w:val="0F0F0F"/>
          <w:sz w:val="20"/>
          <w:szCs w:val="20"/>
        </w:rPr>
        <w:t xml:space="preserve">Sonnenenergie SSES, </w:t>
      </w:r>
      <w:r>
        <w:rPr>
          <w:rFonts w:ascii="Arial" w:eastAsia="Arial" w:hAnsi="Arial" w:cs="Arial"/>
          <w:color w:val="000000"/>
          <w:sz w:val="20"/>
          <w:szCs w:val="20"/>
        </w:rPr>
        <w:t xml:space="preserve">ist der </w:t>
      </w:r>
      <w:r>
        <w:rPr>
          <w:rFonts w:ascii="Arial" w:eastAsia="Arial" w:hAnsi="Arial" w:cs="Arial"/>
          <w:color w:val="0F0F0F"/>
          <w:sz w:val="20"/>
          <w:szCs w:val="20"/>
        </w:rPr>
        <w:t xml:space="preserve">Verband </w:t>
      </w:r>
      <w:r>
        <w:rPr>
          <w:rFonts w:ascii="Arial" w:eastAsia="Arial" w:hAnsi="Arial" w:cs="Arial"/>
          <w:color w:val="000000"/>
          <w:sz w:val="20"/>
          <w:szCs w:val="20"/>
        </w:rPr>
        <w:t xml:space="preserve">der unabhängigen Energieerzeuger und </w:t>
      </w:r>
      <w:r>
        <w:rPr>
          <w:rFonts w:ascii="Arial" w:eastAsia="Arial" w:hAnsi="Arial" w:cs="Arial"/>
          <w:color w:val="0F0F0F"/>
          <w:sz w:val="20"/>
          <w:szCs w:val="20"/>
        </w:rPr>
        <w:t xml:space="preserve">vertritt die </w:t>
      </w:r>
      <w:r>
        <w:rPr>
          <w:rFonts w:ascii="Arial" w:eastAsia="Arial" w:hAnsi="Arial" w:cs="Arial"/>
          <w:color w:val="000000"/>
          <w:sz w:val="20"/>
          <w:szCs w:val="20"/>
        </w:rPr>
        <w:t xml:space="preserve">Interessenten </w:t>
      </w:r>
      <w:r>
        <w:rPr>
          <w:rFonts w:ascii="Arial" w:eastAsia="Arial" w:hAnsi="Arial" w:cs="Arial"/>
          <w:color w:val="0F0F0F"/>
          <w:sz w:val="20"/>
          <w:szCs w:val="20"/>
        </w:rPr>
        <w:t xml:space="preserve">von </w:t>
      </w:r>
      <w:r>
        <w:rPr>
          <w:rFonts w:ascii="Arial" w:eastAsia="Arial" w:hAnsi="Arial" w:cs="Arial"/>
          <w:color w:val="000000"/>
          <w:sz w:val="20"/>
          <w:szCs w:val="20"/>
        </w:rPr>
        <w:t xml:space="preserve">Betreibern </w:t>
      </w:r>
      <w:r>
        <w:rPr>
          <w:rFonts w:ascii="Arial" w:eastAsia="Arial" w:hAnsi="Arial" w:cs="Arial"/>
          <w:color w:val="0F0F0F"/>
          <w:sz w:val="20"/>
          <w:szCs w:val="20"/>
        </w:rPr>
        <w:t xml:space="preserve">von Anlagen zur </w:t>
      </w:r>
      <w:r>
        <w:rPr>
          <w:rFonts w:ascii="Arial" w:eastAsia="Arial" w:hAnsi="Arial" w:cs="Arial"/>
          <w:color w:val="000000"/>
          <w:sz w:val="20"/>
          <w:szCs w:val="20"/>
        </w:rPr>
        <w:t xml:space="preserve">Erzeugung </w:t>
      </w:r>
      <w:r>
        <w:rPr>
          <w:rFonts w:ascii="Arial" w:eastAsia="Arial" w:hAnsi="Arial" w:cs="Arial"/>
          <w:color w:val="232323"/>
          <w:sz w:val="20"/>
          <w:szCs w:val="20"/>
        </w:rPr>
        <w:t>vo</w:t>
      </w:r>
      <w:r>
        <w:rPr>
          <w:rFonts w:ascii="Arial" w:eastAsia="Arial" w:hAnsi="Arial" w:cs="Arial"/>
          <w:color w:val="000000"/>
          <w:sz w:val="20"/>
          <w:szCs w:val="20"/>
        </w:rPr>
        <w:t xml:space="preserve">n </w:t>
      </w:r>
      <w:r>
        <w:rPr>
          <w:rFonts w:ascii="Arial" w:eastAsia="Arial" w:hAnsi="Arial" w:cs="Arial"/>
          <w:color w:val="0F0F0F"/>
          <w:sz w:val="20"/>
          <w:szCs w:val="20"/>
        </w:rPr>
        <w:t xml:space="preserve">erneuerbarer </w:t>
      </w:r>
      <w:r>
        <w:rPr>
          <w:rFonts w:ascii="Arial" w:eastAsia="Arial" w:hAnsi="Arial" w:cs="Arial"/>
          <w:color w:val="000000"/>
          <w:sz w:val="20"/>
          <w:szCs w:val="20"/>
        </w:rPr>
        <w:t>Elektrizit</w:t>
      </w:r>
      <w:r>
        <w:rPr>
          <w:rFonts w:ascii="Arial" w:eastAsia="Arial" w:hAnsi="Arial" w:cs="Arial"/>
          <w:color w:val="232323"/>
          <w:sz w:val="20"/>
          <w:szCs w:val="20"/>
        </w:rPr>
        <w:t>ä</w:t>
      </w:r>
      <w:r>
        <w:rPr>
          <w:rFonts w:ascii="Arial" w:eastAsia="Arial" w:hAnsi="Arial" w:cs="Arial"/>
          <w:color w:val="000000"/>
          <w:sz w:val="20"/>
          <w:szCs w:val="20"/>
        </w:rPr>
        <w:t xml:space="preserve">t </w:t>
      </w:r>
      <w:r>
        <w:rPr>
          <w:rFonts w:ascii="Arial" w:eastAsia="Arial" w:hAnsi="Arial" w:cs="Arial"/>
          <w:color w:val="0F0F0F"/>
          <w:sz w:val="20"/>
          <w:szCs w:val="20"/>
        </w:rPr>
        <w:t xml:space="preserve">ohne eigenes Verteilnetz. VESE setzt sich ein </w:t>
      </w:r>
      <w:r>
        <w:rPr>
          <w:rFonts w:ascii="Arial" w:eastAsia="Arial" w:hAnsi="Arial" w:cs="Arial"/>
          <w:color w:val="000000"/>
          <w:sz w:val="20"/>
          <w:szCs w:val="20"/>
        </w:rPr>
        <w:t xml:space="preserve">für </w:t>
      </w:r>
      <w:r>
        <w:rPr>
          <w:rFonts w:ascii="Arial" w:eastAsia="Arial" w:hAnsi="Arial" w:cs="Arial"/>
          <w:color w:val="0F0F0F"/>
          <w:sz w:val="20"/>
          <w:szCs w:val="20"/>
        </w:rPr>
        <w:t xml:space="preserve">eine </w:t>
      </w:r>
      <w:r>
        <w:rPr>
          <w:rFonts w:ascii="Arial" w:eastAsia="Arial" w:hAnsi="Arial" w:cs="Arial"/>
          <w:color w:val="000000"/>
          <w:sz w:val="20"/>
          <w:szCs w:val="20"/>
        </w:rPr>
        <w:t>E</w:t>
      </w:r>
      <w:r>
        <w:rPr>
          <w:rFonts w:ascii="Arial" w:eastAsia="Arial" w:hAnsi="Arial" w:cs="Arial"/>
          <w:sz w:val="20"/>
          <w:szCs w:val="20"/>
        </w:rPr>
        <w:t>ner</w:t>
      </w:r>
      <w:r>
        <w:rPr>
          <w:rFonts w:ascii="Arial" w:eastAsia="Arial" w:hAnsi="Arial" w:cs="Arial"/>
          <w:color w:val="000000"/>
          <w:sz w:val="20"/>
          <w:szCs w:val="20"/>
        </w:rPr>
        <w:t xml:space="preserve">giewende </w:t>
      </w:r>
      <w:r>
        <w:rPr>
          <w:rFonts w:ascii="Arial" w:eastAsia="Arial" w:hAnsi="Arial" w:cs="Arial"/>
          <w:color w:val="0F0F0F"/>
          <w:sz w:val="20"/>
          <w:szCs w:val="20"/>
        </w:rPr>
        <w:t xml:space="preserve">mit </w:t>
      </w:r>
      <w:r>
        <w:rPr>
          <w:rFonts w:ascii="Arial" w:eastAsia="Arial" w:hAnsi="Arial" w:cs="Arial"/>
          <w:color w:val="000000"/>
          <w:sz w:val="20"/>
          <w:szCs w:val="20"/>
        </w:rPr>
        <w:t>mögli</w:t>
      </w:r>
      <w:r>
        <w:rPr>
          <w:rFonts w:ascii="Arial" w:eastAsia="Arial" w:hAnsi="Arial" w:cs="Arial"/>
          <w:color w:val="232323"/>
          <w:sz w:val="20"/>
          <w:szCs w:val="20"/>
        </w:rPr>
        <w:t>chs</w:t>
      </w:r>
      <w:r>
        <w:rPr>
          <w:rFonts w:ascii="Arial" w:eastAsia="Arial" w:hAnsi="Arial" w:cs="Arial"/>
          <w:color w:val="000000"/>
          <w:sz w:val="20"/>
          <w:szCs w:val="20"/>
        </w:rPr>
        <w:t xml:space="preserve">t vielen </w:t>
      </w:r>
      <w:r>
        <w:rPr>
          <w:rFonts w:ascii="Arial" w:eastAsia="Arial" w:hAnsi="Arial" w:cs="Arial"/>
          <w:color w:val="0F0F0F"/>
          <w:sz w:val="20"/>
          <w:szCs w:val="20"/>
        </w:rPr>
        <w:t xml:space="preserve">Anlagen </w:t>
      </w:r>
      <w:r>
        <w:rPr>
          <w:rFonts w:ascii="Arial" w:eastAsia="Arial" w:hAnsi="Arial" w:cs="Arial"/>
          <w:color w:val="000000"/>
          <w:sz w:val="20"/>
          <w:szCs w:val="20"/>
        </w:rPr>
        <w:t>in Bürgerhand.</w:t>
      </w:r>
    </w:p>
    <w:p w14:paraId="6D307401" w14:textId="77777777" w:rsidR="00415561" w:rsidRDefault="00415561">
      <w:pPr>
        <w:spacing w:before="120" w:after="0" w:line="240" w:lineRule="auto"/>
        <w:ind w:right="1"/>
        <w:jc w:val="both"/>
        <w:rPr>
          <w:rFonts w:ascii="Arial" w:eastAsia="Arial" w:hAnsi="Arial" w:cs="Arial"/>
          <w:color w:val="000000"/>
          <w:sz w:val="20"/>
          <w:szCs w:val="20"/>
        </w:rPr>
      </w:pPr>
    </w:p>
    <w:p w14:paraId="6CAFEBB4" w14:textId="77777777" w:rsidR="00415561" w:rsidRDefault="00415561">
      <w:pPr>
        <w:spacing w:before="120" w:after="0" w:line="240" w:lineRule="auto"/>
        <w:ind w:right="1"/>
        <w:jc w:val="both"/>
        <w:rPr>
          <w:rFonts w:ascii="Arial" w:eastAsia="Arial" w:hAnsi="Arial" w:cs="Arial"/>
          <w:color w:val="000000"/>
          <w:sz w:val="20"/>
          <w:szCs w:val="20"/>
        </w:rPr>
      </w:pPr>
    </w:p>
    <w:p w14:paraId="17E6B393" w14:textId="77777777" w:rsidR="00415561" w:rsidRDefault="00415561">
      <w:pPr>
        <w:spacing w:before="120" w:after="0" w:line="240" w:lineRule="auto"/>
        <w:ind w:right="1"/>
        <w:jc w:val="both"/>
        <w:rPr>
          <w:rFonts w:ascii="Arial" w:eastAsia="Arial" w:hAnsi="Arial" w:cs="Arial"/>
          <w:color w:val="000000"/>
          <w:sz w:val="20"/>
          <w:szCs w:val="20"/>
        </w:rPr>
      </w:pPr>
    </w:p>
    <w:p w14:paraId="0A57CE97" w14:textId="77777777" w:rsidR="0005340D" w:rsidRDefault="0005340D">
      <w:pPr>
        <w:spacing w:before="120" w:after="0" w:line="240" w:lineRule="auto"/>
        <w:ind w:right="1"/>
        <w:jc w:val="both"/>
        <w:rPr>
          <w:rFonts w:ascii="Arial" w:eastAsia="Arial" w:hAnsi="Arial" w:cs="Arial"/>
          <w:color w:val="000000"/>
          <w:sz w:val="20"/>
          <w:szCs w:val="20"/>
        </w:rPr>
      </w:pPr>
    </w:p>
    <w:p w14:paraId="596DD08D" w14:textId="77777777" w:rsidR="0005340D" w:rsidRDefault="0005340D">
      <w:pPr>
        <w:spacing w:before="120" w:after="0" w:line="240" w:lineRule="auto"/>
        <w:ind w:right="1"/>
        <w:jc w:val="both"/>
        <w:rPr>
          <w:rFonts w:ascii="Arial" w:eastAsia="Arial" w:hAnsi="Arial" w:cs="Arial"/>
          <w:color w:val="000000"/>
          <w:sz w:val="20"/>
          <w:szCs w:val="20"/>
        </w:rPr>
      </w:pPr>
    </w:p>
    <w:p w14:paraId="434F93CA" w14:textId="5EE573CA" w:rsidR="00415561" w:rsidRDefault="00415561">
      <w:pPr>
        <w:spacing w:before="120" w:after="0" w:line="240" w:lineRule="auto"/>
        <w:ind w:right="1"/>
        <w:jc w:val="both"/>
        <w:rPr>
          <w:rFonts w:ascii="Arial" w:eastAsia="Arial" w:hAnsi="Arial" w:cs="Arial"/>
          <w:color w:val="000000"/>
          <w:sz w:val="20"/>
          <w:szCs w:val="20"/>
        </w:rPr>
      </w:pPr>
      <w:r>
        <w:rPr>
          <w:b/>
        </w:rPr>
        <w:t>Anhang: Graphiken zu den Vergütungen der Netzbetreiber 2025</w:t>
      </w:r>
    </w:p>
    <w:p w14:paraId="204B5EFC" w14:textId="77777777" w:rsidR="006543FF" w:rsidRDefault="006543FF">
      <w:pPr>
        <w:spacing w:before="120" w:after="0" w:line="240" w:lineRule="auto"/>
        <w:ind w:right="1"/>
        <w:jc w:val="both"/>
        <w:rPr>
          <w:rFonts w:ascii="Arial" w:eastAsia="Arial" w:hAnsi="Arial" w:cs="Arial"/>
          <w:color w:val="000000"/>
          <w:sz w:val="20"/>
          <w:szCs w:val="20"/>
        </w:rPr>
      </w:pPr>
    </w:p>
    <w:p w14:paraId="0687A15F" w14:textId="7CBADDE9" w:rsidR="006543FF" w:rsidRDefault="00415561">
      <w:pPr>
        <w:spacing w:before="120" w:after="0" w:line="240" w:lineRule="auto"/>
        <w:ind w:right="1"/>
        <w:jc w:val="both"/>
        <w:rPr>
          <w:rFonts w:ascii="Arial" w:eastAsia="Arial" w:hAnsi="Arial" w:cs="Arial"/>
          <w:color w:val="000000"/>
          <w:sz w:val="20"/>
          <w:szCs w:val="20"/>
        </w:rPr>
      </w:pPr>
      <w:r w:rsidRPr="00781C69">
        <w:rPr>
          <w:noProof/>
        </w:rPr>
        <w:drawing>
          <wp:inline distT="0" distB="0" distL="0" distR="0" wp14:anchorId="27E03D97" wp14:editId="60A78CC4">
            <wp:extent cx="5731510" cy="4242435"/>
            <wp:effectExtent l="0" t="0" r="2540" b="5715"/>
            <wp:docPr id="12510926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92607" name=""/>
                    <pic:cNvPicPr/>
                  </pic:nvPicPr>
                  <pic:blipFill>
                    <a:blip r:embed="rId8"/>
                    <a:stretch>
                      <a:fillRect/>
                    </a:stretch>
                  </pic:blipFill>
                  <pic:spPr>
                    <a:xfrm>
                      <a:off x="0" y="0"/>
                      <a:ext cx="5731510" cy="4242435"/>
                    </a:xfrm>
                    <a:prstGeom prst="rect">
                      <a:avLst/>
                    </a:prstGeom>
                  </pic:spPr>
                </pic:pic>
              </a:graphicData>
            </a:graphic>
          </wp:inline>
        </w:drawing>
      </w:r>
    </w:p>
    <w:p w14:paraId="1C46795A" w14:textId="43EAD713" w:rsidR="006543FF" w:rsidRDefault="00000000">
      <w:pPr>
        <w:spacing w:before="120" w:after="0" w:line="240" w:lineRule="auto"/>
        <w:ind w:right="1"/>
        <w:jc w:val="both"/>
        <w:rPr>
          <w:rFonts w:ascii="Arial" w:eastAsia="Arial" w:hAnsi="Arial" w:cs="Arial"/>
          <w:color w:val="000000"/>
          <w:sz w:val="20"/>
          <w:szCs w:val="20"/>
        </w:rPr>
      </w:pPr>
      <w:r>
        <w:rPr>
          <w:rFonts w:ascii="Arial" w:eastAsia="Arial" w:hAnsi="Arial" w:cs="Arial"/>
          <w:color w:val="000000"/>
          <w:sz w:val="20"/>
          <w:szCs w:val="20"/>
        </w:rPr>
        <w:t>Vergütungen 2025 der 30 grössten Verteilnetzbe</w:t>
      </w:r>
      <w:r w:rsidR="00415561">
        <w:rPr>
          <w:rFonts w:ascii="Arial" w:eastAsia="Arial" w:hAnsi="Arial" w:cs="Arial"/>
          <w:color w:val="000000"/>
          <w:sz w:val="20"/>
          <w:szCs w:val="20"/>
        </w:rPr>
        <w:t>tr</w:t>
      </w:r>
      <w:r>
        <w:rPr>
          <w:rFonts w:ascii="Arial" w:eastAsia="Arial" w:hAnsi="Arial" w:cs="Arial"/>
          <w:color w:val="000000"/>
          <w:sz w:val="20"/>
          <w:szCs w:val="20"/>
        </w:rPr>
        <w:t>eiber für eingespeisten Strom aus einer 10 kVA PV-Anlage soweit per 27.9.2024 bekanntgegeben. Im Falle der Vergütung der Energie zum Marktpreis sind die Werte der letzten 12 Monate eingesetzt.</w:t>
      </w:r>
    </w:p>
    <w:p w14:paraId="7C96891C" w14:textId="77777777" w:rsidR="00415561" w:rsidRDefault="00415561">
      <w:pPr>
        <w:spacing w:before="120" w:after="0" w:line="240" w:lineRule="auto"/>
        <w:ind w:right="1"/>
        <w:jc w:val="both"/>
        <w:rPr>
          <w:rFonts w:ascii="Arial" w:eastAsia="Arial" w:hAnsi="Arial" w:cs="Arial"/>
          <w:color w:val="000000"/>
          <w:sz w:val="20"/>
          <w:szCs w:val="20"/>
        </w:rPr>
      </w:pPr>
    </w:p>
    <w:p w14:paraId="723C22BB" w14:textId="080D531A" w:rsidR="00415561" w:rsidRDefault="00415561" w:rsidP="00415561">
      <w:pPr>
        <w:spacing w:before="120" w:after="0" w:line="240" w:lineRule="auto"/>
        <w:ind w:right="1"/>
        <w:jc w:val="center"/>
        <w:rPr>
          <w:rFonts w:ascii="Arial" w:eastAsia="Arial" w:hAnsi="Arial" w:cs="Arial"/>
          <w:color w:val="000000"/>
          <w:sz w:val="20"/>
          <w:szCs w:val="20"/>
        </w:rPr>
      </w:pPr>
      <w:r w:rsidRPr="00781C69">
        <w:rPr>
          <w:noProof/>
        </w:rPr>
        <w:lastRenderedPageBreak/>
        <w:drawing>
          <wp:inline distT="0" distB="0" distL="0" distR="0" wp14:anchorId="0239C6F8" wp14:editId="26C62DC1">
            <wp:extent cx="4941127" cy="2831869"/>
            <wp:effectExtent l="0" t="0" r="0" b="6985"/>
            <wp:docPr id="14761013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01305" name=""/>
                    <pic:cNvPicPr/>
                  </pic:nvPicPr>
                  <pic:blipFill>
                    <a:blip r:embed="rId9"/>
                    <a:stretch>
                      <a:fillRect/>
                    </a:stretch>
                  </pic:blipFill>
                  <pic:spPr>
                    <a:xfrm>
                      <a:off x="0" y="0"/>
                      <a:ext cx="4952205" cy="2838218"/>
                    </a:xfrm>
                    <a:prstGeom prst="rect">
                      <a:avLst/>
                    </a:prstGeom>
                  </pic:spPr>
                </pic:pic>
              </a:graphicData>
            </a:graphic>
          </wp:inline>
        </w:drawing>
      </w:r>
    </w:p>
    <w:p w14:paraId="56AA423E" w14:textId="03D4A009" w:rsidR="006543FF" w:rsidRDefault="006543FF">
      <w:pPr>
        <w:spacing w:before="120" w:after="0" w:line="240" w:lineRule="auto"/>
        <w:ind w:right="520"/>
        <w:jc w:val="both"/>
        <w:rPr>
          <w:rFonts w:ascii="Arial" w:eastAsia="Arial" w:hAnsi="Arial" w:cs="Arial"/>
          <w:color w:val="000000"/>
          <w:sz w:val="2"/>
          <w:szCs w:val="2"/>
        </w:rPr>
      </w:pPr>
    </w:p>
    <w:p w14:paraId="5CBC287A" w14:textId="4D642F5A" w:rsidR="006543FF" w:rsidRDefault="00000000">
      <w:pPr>
        <w:spacing w:before="120" w:after="0" w:line="240" w:lineRule="auto"/>
        <w:ind w:right="1"/>
        <w:jc w:val="both"/>
        <w:rPr>
          <w:rFonts w:ascii="Arial" w:eastAsia="Arial" w:hAnsi="Arial" w:cs="Arial"/>
          <w:color w:val="000000"/>
          <w:sz w:val="20"/>
          <w:szCs w:val="20"/>
        </w:rPr>
      </w:pPr>
      <w:r>
        <w:rPr>
          <w:rFonts w:ascii="Arial" w:eastAsia="Arial" w:hAnsi="Arial" w:cs="Arial"/>
          <w:color w:val="000000"/>
          <w:sz w:val="20"/>
          <w:szCs w:val="20"/>
        </w:rPr>
        <w:t>Entwicklung der Vergütungen der 30 grössten Verteilnetzbe</w:t>
      </w:r>
      <w:r w:rsidR="00415561">
        <w:rPr>
          <w:rFonts w:ascii="Arial" w:eastAsia="Arial" w:hAnsi="Arial" w:cs="Arial"/>
          <w:color w:val="000000"/>
          <w:sz w:val="20"/>
          <w:szCs w:val="20"/>
        </w:rPr>
        <w:t>tr</w:t>
      </w:r>
      <w:r>
        <w:rPr>
          <w:rFonts w:ascii="Arial" w:eastAsia="Arial" w:hAnsi="Arial" w:cs="Arial"/>
          <w:color w:val="000000"/>
          <w:sz w:val="20"/>
          <w:szCs w:val="20"/>
        </w:rPr>
        <w:t>eiber für eingespeisten Strom aus einer 10 kVA PV-Anlage seit 2015. Im Falle der Vergütung der Energie zum Marktpreis sind die Werte der letzten 12 Monate eingesetzt. Schwarz: erwarteter Bereich für 2025, aufgrund der bisher bekanntgegebenen Werte.</w:t>
      </w:r>
    </w:p>
    <w:p w14:paraId="3969B600" w14:textId="77777777" w:rsidR="006543FF" w:rsidRDefault="006543FF">
      <w:pPr>
        <w:spacing w:before="120" w:after="0" w:line="240" w:lineRule="auto"/>
        <w:ind w:right="520"/>
        <w:jc w:val="both"/>
        <w:rPr>
          <w:rFonts w:ascii="Arial" w:eastAsia="Arial" w:hAnsi="Arial" w:cs="Arial"/>
          <w:color w:val="000000"/>
          <w:sz w:val="2"/>
          <w:szCs w:val="2"/>
        </w:rPr>
      </w:pPr>
    </w:p>
    <w:sectPr w:rsidR="006543FF">
      <w:headerReference w:type="default" r:id="rId10"/>
      <w:footerReference w:type="default" r:id="rId11"/>
      <w:pgSz w:w="11920" w:h="16840"/>
      <w:pgMar w:top="1843" w:right="980" w:bottom="426" w:left="13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6A378" w14:textId="77777777" w:rsidR="000C16B7" w:rsidRDefault="000C16B7">
      <w:pPr>
        <w:spacing w:after="0" w:line="240" w:lineRule="auto"/>
      </w:pPr>
      <w:r>
        <w:separator/>
      </w:r>
    </w:p>
  </w:endnote>
  <w:endnote w:type="continuationSeparator" w:id="0">
    <w:p w14:paraId="0AACFEAC" w14:textId="77777777" w:rsidR="000C16B7" w:rsidRDefault="000C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A453B" w14:textId="77777777" w:rsidR="006543FF" w:rsidRDefault="006543FF">
    <w:pPr>
      <w:spacing w:after="0"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51FCB" w14:textId="77777777" w:rsidR="000C16B7" w:rsidRDefault="000C16B7">
      <w:pPr>
        <w:spacing w:after="0" w:line="240" w:lineRule="auto"/>
      </w:pPr>
      <w:r>
        <w:separator/>
      </w:r>
    </w:p>
  </w:footnote>
  <w:footnote w:type="continuationSeparator" w:id="0">
    <w:p w14:paraId="33038052" w14:textId="77777777" w:rsidR="000C16B7" w:rsidRDefault="000C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54767" w14:textId="77777777" w:rsidR="006543FF" w:rsidRDefault="00000000">
    <w:pPr>
      <w:spacing w:after="0" w:line="200" w:lineRule="auto"/>
      <w:rPr>
        <w:sz w:val="20"/>
        <w:szCs w:val="20"/>
      </w:rPr>
    </w:pPr>
    <w:r>
      <w:rPr>
        <w:noProof/>
      </w:rPr>
      <mc:AlternateContent>
        <mc:Choice Requires="wpg">
          <w:drawing>
            <wp:anchor distT="0" distB="0" distL="0" distR="0" simplePos="0" relativeHeight="251658240" behindDoc="1" locked="0" layoutInCell="1" hidden="0" allowOverlap="1" wp14:anchorId="7180E33A" wp14:editId="789A1AA2">
              <wp:simplePos x="0" y="0"/>
              <wp:positionH relativeFrom="page">
                <wp:posOffset>864870</wp:posOffset>
              </wp:positionH>
              <wp:positionV relativeFrom="page">
                <wp:posOffset>438152</wp:posOffset>
              </wp:positionV>
              <wp:extent cx="4496435" cy="541020"/>
              <wp:effectExtent l="0" t="0" r="0" b="0"/>
              <wp:wrapNone/>
              <wp:docPr id="1" name="Rechteck 1"/>
              <wp:cNvGraphicFramePr/>
              <a:graphic xmlns:a="http://schemas.openxmlformats.org/drawingml/2006/main">
                <a:graphicData uri="http://schemas.microsoft.com/office/word/2010/wordprocessingShape">
                  <wps:wsp>
                    <wps:cNvSpPr/>
                    <wps:spPr>
                      <a:xfrm>
                        <a:off x="3116833" y="3528540"/>
                        <a:ext cx="4458335" cy="502920"/>
                      </a:xfrm>
                      <a:prstGeom prst="rect">
                        <a:avLst/>
                      </a:prstGeom>
                      <a:solidFill>
                        <a:schemeClr val="lt1"/>
                      </a:solidFill>
                      <a:ln>
                        <a:noFill/>
                      </a:ln>
                    </wps:spPr>
                    <wps:txbx>
                      <w:txbxContent>
                        <w:p w14:paraId="3060F9D4" w14:textId="77777777" w:rsidR="006543FF" w:rsidRDefault="00000000">
                          <w:pPr>
                            <w:spacing w:after="0" w:line="224" w:lineRule="auto"/>
                            <w:ind w:left="20" w:right="-50" w:firstLine="20"/>
                            <w:textDirection w:val="btLr"/>
                          </w:pPr>
                          <w:r>
                            <w:rPr>
                              <w:rFonts w:ascii="Arial" w:eastAsia="Arial" w:hAnsi="Arial" w:cs="Arial"/>
                              <w:b/>
                              <w:color w:val="014669"/>
                              <w:sz w:val="20"/>
                            </w:rPr>
                            <w:t>VESE -Verband unabhängiger Energieerzeuger, eine Fachgruppe der SSES</w:t>
                          </w:r>
                        </w:p>
                        <w:p w14:paraId="135CF6C9" w14:textId="77777777" w:rsidR="006543FF" w:rsidRDefault="00000000">
                          <w:pPr>
                            <w:spacing w:after="0" w:line="240" w:lineRule="auto"/>
                            <w:textDirection w:val="btLr"/>
                          </w:pPr>
                          <w:proofErr w:type="spellStart"/>
                          <w:r>
                            <w:rPr>
                              <w:color w:val="1F497D"/>
                              <w:sz w:val="18"/>
                            </w:rPr>
                            <w:t>Aarbergergasse</w:t>
                          </w:r>
                          <w:proofErr w:type="spellEnd"/>
                          <w:r>
                            <w:rPr>
                              <w:color w:val="1F497D"/>
                              <w:sz w:val="18"/>
                            </w:rPr>
                            <w:t xml:space="preserve"> 21, 3011 Bern, </w:t>
                          </w:r>
                          <w:proofErr w:type="spellStart"/>
                          <w:r>
                            <w:rPr>
                              <w:color w:val="1F497D"/>
                              <w:sz w:val="18"/>
                            </w:rPr>
                            <w:t>www.vese.ch,Tel</w:t>
                          </w:r>
                          <w:proofErr w:type="spellEnd"/>
                          <w:r>
                            <w:rPr>
                              <w:color w:val="1F497D"/>
                              <w:sz w:val="18"/>
                            </w:rPr>
                            <w:t xml:space="preserve">. 031 371 80 00, E-Mail </w:t>
                          </w:r>
                          <w:proofErr w:type="spellStart"/>
                          <w:r>
                            <w:rPr>
                              <w:color w:val="1F497D"/>
                              <w:sz w:val="18"/>
                            </w:rPr>
                            <w:t>info@vese.ch</w:t>
                          </w:r>
                          <w:proofErr w:type="spellEnd"/>
                        </w:p>
                        <w:p w14:paraId="70743C68" w14:textId="77777777" w:rsidR="006543FF" w:rsidRDefault="006543FF">
                          <w:pPr>
                            <w:spacing w:after="0" w:line="240" w:lineRule="auto"/>
                            <w:ind w:left="20" w:right="-20" w:firstLine="10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864870</wp:posOffset>
              </wp:positionH>
              <wp:positionV relativeFrom="page">
                <wp:posOffset>438152</wp:posOffset>
              </wp:positionV>
              <wp:extent cx="4496435" cy="54102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496435" cy="541020"/>
                      </a:xfrm>
                      <a:prstGeom prst="rect"/>
                      <a:ln/>
                    </pic:spPr>
                  </pic:pic>
                </a:graphicData>
              </a:graphic>
            </wp:anchor>
          </w:drawing>
        </mc:Fallback>
      </mc:AlternateContent>
    </w:r>
    <w:r>
      <w:rPr>
        <w:noProof/>
      </w:rPr>
      <w:drawing>
        <wp:anchor distT="0" distB="0" distL="0" distR="0" simplePos="0" relativeHeight="251659264" behindDoc="1" locked="0" layoutInCell="1" hidden="0" allowOverlap="1" wp14:anchorId="4AFCAEB7" wp14:editId="5AC771AE">
          <wp:simplePos x="0" y="0"/>
          <wp:positionH relativeFrom="page">
            <wp:posOffset>5605145</wp:posOffset>
          </wp:positionH>
          <wp:positionV relativeFrom="page">
            <wp:posOffset>402590</wp:posOffset>
          </wp:positionV>
          <wp:extent cx="1257300" cy="41148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57300" cy="4114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FF"/>
    <w:rsid w:val="0005340D"/>
    <w:rsid w:val="000C16B7"/>
    <w:rsid w:val="002B0117"/>
    <w:rsid w:val="0037532D"/>
    <w:rsid w:val="00415561"/>
    <w:rsid w:val="006543FF"/>
    <w:rsid w:val="006D2779"/>
    <w:rsid w:val="00A14122"/>
    <w:rsid w:val="00E070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2CF1"/>
  <w15:docId w15:val="{23361E37-5F75-4DAE-9B04-F2A1A775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CH" w:eastAsia="de-CH"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ese.ch/wp-content/uploads/VESE_Vernehmlassungsantwort_Mantelerlass_Stromgesetz.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ergeiaplus.com/2024/09/16/verordnungen-zur-umsetzung-des-stromgesetzes-sind-auf-der-zielgerad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4527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Grueter</dc:creator>
  <cp:lastModifiedBy>Lucia Grueter</cp:lastModifiedBy>
  <cp:revision>5</cp:revision>
  <cp:lastPrinted>2024-10-03T12:54:00Z</cp:lastPrinted>
  <dcterms:created xsi:type="dcterms:W3CDTF">2024-10-03T12:44:00Z</dcterms:created>
  <dcterms:modified xsi:type="dcterms:W3CDTF">2024-10-03T14:53:00Z</dcterms:modified>
</cp:coreProperties>
</file>